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3B5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E915D2">
            <w:pPr>
              <w:pStyle w:val="20"/>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rPr>
            </w:pPr>
            <w:r>
              <w:rPr>
                <w:rFonts w:ascii="Times New Roman" w:hAnsi="Times New Roman" w:eastAsia="黑体"/>
                <w:color w:val="000000" w:themeColor="text1"/>
                <w:sz w:val="21"/>
                <w:szCs w:val="21"/>
              </w:rPr>
              <w:t>ICS</w:t>
            </w:r>
            <w:r>
              <w:rPr>
                <w:rFonts w:ascii="黑体" w:hAnsi="黑体" w:eastAsia="黑体"/>
                <w:color w:val="000000" w:themeColor="text1"/>
                <w:sz w:val="21"/>
                <w:szCs w:val="21"/>
              </w:rPr>
              <w:t xml:space="preserve">  </w:t>
            </w:r>
          </w:p>
        </w:tc>
        <w:tc>
          <w:tcPr>
            <w:tcW w:w="8855" w:type="dxa"/>
          </w:tcPr>
          <w:p w14:paraId="3D05E11F">
            <w:pPr>
              <w:pStyle w:val="20"/>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rPr>
            </w:pPr>
            <w:r>
              <w:rPr>
                <w:rFonts w:ascii="黑体" w:hAnsi="黑体" w:eastAsia="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rPr>
              <w:instrText xml:space="preserve"> FORMTEXT </w:instrText>
            </w:r>
            <w:r>
              <w:rPr>
                <w:rFonts w:ascii="黑体" w:hAnsi="黑体" w:eastAsia="黑体"/>
                <w:color w:val="000000" w:themeColor="text1"/>
                <w:sz w:val="21"/>
                <w:szCs w:val="21"/>
              </w:rPr>
              <w:fldChar w:fldCharType="separate"/>
            </w:r>
            <w:r>
              <w:rPr>
                <w:rFonts w:ascii="黑体" w:hAnsi="黑体" w:eastAsia="黑体"/>
                <w:color w:val="000000" w:themeColor="text1"/>
                <w:sz w:val="21"/>
                <w:szCs w:val="21"/>
              </w:rPr>
              <w:t xml:space="preserve"> </w:t>
            </w:r>
            <w:r>
              <w:rPr>
                <w:rFonts w:hint="eastAsia" w:ascii="黑体" w:hAnsi="黑体" w:eastAsia="黑体"/>
                <w:color w:val="000000" w:themeColor="text1"/>
                <w:sz w:val="21"/>
                <w:szCs w:val="21"/>
              </w:rPr>
              <w:t>03</w:t>
            </w:r>
            <w:r>
              <w:rPr>
                <w:rFonts w:ascii="黑体" w:hAnsi="黑体" w:eastAsia="黑体"/>
                <w:color w:val="000000" w:themeColor="text1"/>
                <w:sz w:val="21"/>
                <w:szCs w:val="21"/>
              </w:rPr>
              <w:fldChar w:fldCharType="end"/>
            </w:r>
            <w:bookmarkEnd w:id="0"/>
          </w:p>
        </w:tc>
      </w:tr>
      <w:tr w14:paraId="224CF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1140C7">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rPr>
            </w:pPr>
            <w:r>
              <w:rPr>
                <w:rFonts w:ascii="Times New Roman" w:hAnsi="Times New Roman" w:eastAsia="黑体"/>
                <w:color w:val="000000" w:themeColor="text1"/>
                <w:sz w:val="21"/>
                <w:szCs w:val="21"/>
              </w:rPr>
              <w:t xml:space="preserve">CCS </w:t>
            </w:r>
            <w:r>
              <w:rPr>
                <w:rFonts w:ascii="黑体" w:hAnsi="黑体" w:eastAsia="黑体"/>
                <w:color w:val="000000" w:themeColor="text1"/>
                <w:sz w:val="21"/>
                <w:szCs w:val="21"/>
              </w:rPr>
              <w:t xml:space="preserve"> </w:t>
            </w:r>
          </w:p>
        </w:tc>
        <w:tc>
          <w:tcPr>
            <w:tcW w:w="8855" w:type="dxa"/>
          </w:tcPr>
          <w:p w14:paraId="7646D12B">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rPr>
            </w:pPr>
            <w:r>
              <w:rPr>
                <w:rFonts w:ascii="黑体" w:hAnsi="黑体" w:eastAsia="黑体"/>
                <w:color w:val="000000" w:themeColor="text1"/>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000000" w:themeColor="text1"/>
                <w:sz w:val="21"/>
                <w:szCs w:val="21"/>
              </w:rPr>
              <w:instrText xml:space="preserve"> FORMTEXT </w:instrText>
            </w:r>
            <w:r>
              <w:rPr>
                <w:rFonts w:ascii="黑体" w:hAnsi="黑体" w:eastAsia="黑体"/>
                <w:color w:val="000000" w:themeColor="text1"/>
                <w:sz w:val="21"/>
                <w:szCs w:val="21"/>
              </w:rPr>
              <w:fldChar w:fldCharType="separate"/>
            </w:r>
            <w:r>
              <w:rPr>
                <w:rFonts w:hint="eastAsia" w:ascii="黑体" w:hAnsi="黑体" w:eastAsia="黑体"/>
                <w:color w:val="000000" w:themeColor="text1"/>
                <w:sz w:val="21"/>
                <w:szCs w:val="21"/>
              </w:rPr>
              <w:t>C75</w:t>
            </w:r>
            <w:r>
              <w:rPr>
                <w:rFonts w:ascii="黑体" w:hAnsi="黑体" w:eastAsia="黑体"/>
                <w:color w:val="000000" w:themeColor="text1"/>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5E07BB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A849EFC">
            <w:pPr>
              <w:pStyle w:val="51"/>
              <w:framePr w:w="0" w:hRule="auto" w:wrap="auto" w:vAnchor="margin" w:hAnchor="text" w:xAlign="left" w:yAlign="inline"/>
              <w:rPr>
                <w:rFonts w:ascii="宋体" w:hAnsi="宋体"/>
                <w:color w:val="000000" w:themeColor="text1"/>
                <w:sz w:val="28"/>
                <w:szCs w:val="28"/>
              </w:rPr>
            </w:pPr>
            <w:bookmarkStart w:id="2" w:name="_Hlk26473981"/>
            <w:r>
              <w:rPr>
                <w:color w:val="000000" w:themeColor="text1"/>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8"/>
                  </w:textInput>
                </w:ffData>
              </w:fldChar>
            </w:r>
            <w:bookmarkStart w:id="3" w:name="c1"/>
            <w:r>
              <w:rPr>
                <w:color w:val="000000" w:themeColor="text1"/>
              </w:rPr>
              <w:instrText xml:space="preserve"> FORMTEXT </w:instrText>
            </w:r>
            <w:r>
              <w:rPr>
                <w:color w:val="000000" w:themeColor="text1"/>
              </w:rPr>
              <w:fldChar w:fldCharType="separate"/>
            </w:r>
            <w:r>
              <w:rPr>
                <w:rFonts w:hint="eastAsia"/>
                <w:color w:val="000000" w:themeColor="text1"/>
              </w:rPr>
              <w:t>34</w:t>
            </w:r>
            <w:r>
              <w:rPr>
                <w:color w:val="000000" w:themeColor="text1"/>
              </w:rPr>
              <w:fldChar w:fldCharType="end"/>
            </w:r>
            <w:bookmarkEnd w:id="3"/>
          </w:p>
        </w:tc>
      </w:tr>
    </w:tbl>
    <w:p w14:paraId="70B00794">
      <w:pPr>
        <w:pStyle w:val="52"/>
        <w:framePr w:w="9639" w:h="624" w:hRule="exact" w:hSpace="181" w:vSpace="181" w:wrap="around" w:hAnchor="page" w:x="1305" w:y="2269"/>
        <w:rPr>
          <w:rFonts w:ascii="黑体" w:hAnsi="黑体" w:eastAsia="黑体"/>
          <w:b w:val="0"/>
          <w:bCs w:val="0"/>
          <w:color w:val="000000" w:themeColor="text1"/>
          <w:w w:val="100"/>
          <w:sz w:val="48"/>
          <w:szCs w:val="48"/>
        </w:rPr>
      </w:pPr>
      <w:r>
        <w:rPr>
          <w:rFonts w:ascii="黑体" w:eastAsia="黑体"/>
          <w:b w:val="0"/>
          <w:color w:val="000000" w:themeColor="text1"/>
          <w:w w:val="100"/>
          <w:sz w:val="48"/>
        </w:rPr>
        <w:fldChar w:fldCharType="begin">
          <w:ffData>
            <w:name w:val="c2"/>
            <w:enabled/>
            <w:calcOnExit w:val="0"/>
            <w:textInput/>
          </w:ffData>
        </w:fldChar>
      </w:r>
      <w:bookmarkStart w:id="4" w:name="c2"/>
      <w:r>
        <w:rPr>
          <w:rFonts w:ascii="黑体" w:eastAsia="黑体"/>
          <w:b w:val="0"/>
          <w:color w:val="000000" w:themeColor="text1"/>
          <w:w w:val="100"/>
          <w:sz w:val="48"/>
        </w:rPr>
        <w:instrText xml:space="preserve"> FORMTEXT </w:instrText>
      </w:r>
      <w:r>
        <w:rPr>
          <w:rFonts w:ascii="黑体" w:eastAsia="黑体"/>
          <w:b w:val="0"/>
          <w:color w:val="000000" w:themeColor="text1"/>
          <w:w w:val="100"/>
          <w:sz w:val="48"/>
        </w:rPr>
        <w:fldChar w:fldCharType="separate"/>
      </w:r>
      <w:r>
        <w:rPr>
          <w:rFonts w:hint="eastAsia" w:ascii="黑体" w:eastAsia="黑体"/>
          <w:b w:val="0"/>
          <w:color w:val="000000" w:themeColor="text1"/>
          <w:w w:val="100"/>
          <w:sz w:val="48"/>
        </w:rPr>
        <w:t>安徽省</w:t>
      </w:r>
      <w:r>
        <w:rPr>
          <w:rFonts w:ascii="黑体" w:eastAsia="黑体"/>
          <w:b w:val="0"/>
          <w:color w:val="000000" w:themeColor="text1"/>
          <w:w w:val="100"/>
          <w:sz w:val="48"/>
        </w:rPr>
        <w:fldChar w:fldCharType="end"/>
      </w:r>
      <w:bookmarkEnd w:id="4"/>
      <w:r>
        <w:rPr>
          <w:rFonts w:hint="eastAsia" w:ascii="黑体" w:hAnsi="黑体" w:eastAsia="黑体"/>
          <w:b w:val="0"/>
          <w:bCs w:val="0"/>
          <w:color w:val="000000" w:themeColor="text1"/>
          <w:w w:val="100"/>
          <w:sz w:val="48"/>
          <w:szCs w:val="48"/>
        </w:rPr>
        <w:t>地方标准</w:t>
      </w:r>
    </w:p>
    <w:bookmarkEnd w:id="2"/>
    <w:p w14:paraId="4611DBC1">
      <w:pPr>
        <w:pStyle w:val="197"/>
        <w:rPr>
          <w:color w:val="000000" w:themeColor="text1"/>
          <w:lang w:val="fr-FR"/>
        </w:rPr>
      </w:pPr>
      <w:r>
        <w:rPr>
          <w:color w:val="000000" w:themeColor="text1"/>
          <w:lang w:val="fr-FR"/>
        </w:rPr>
        <w:t>DB</w:t>
      </w:r>
      <w:r>
        <w:rPr>
          <w:color w:val="000000" w:themeColor="text1"/>
          <w:sz w:val="15"/>
          <w:szCs w:val="15"/>
          <w:lang w:val="fr-FR"/>
        </w:rPr>
        <w:t xml:space="preserve"> </w:t>
      </w:r>
      <w:r>
        <w:rPr>
          <w:color w:val="000000" w:themeColor="text1"/>
        </w:rPr>
        <w:fldChar w:fldCharType="begin">
          <w:ffData>
            <w:name w:val="文字1"/>
            <w:enabled/>
            <w:calcOnExit w:val="0"/>
            <w:textInput>
              <w:default w:val="XX/T"/>
            </w:textInput>
          </w:ffData>
        </w:fldChar>
      </w:r>
      <w:bookmarkStart w:id="5" w:name="文字1"/>
      <w:r>
        <w:rPr>
          <w:color w:val="000000" w:themeColor="text1"/>
          <w:lang w:val="fr-FR"/>
        </w:rPr>
        <w:instrText xml:space="preserve"> FORMTEXT </w:instrText>
      </w:r>
      <w:r>
        <w:rPr>
          <w:color w:val="000000" w:themeColor="text1"/>
        </w:rPr>
        <w:fldChar w:fldCharType="separate"/>
      </w:r>
      <w:r>
        <w:rPr>
          <w:rFonts w:hint="eastAsia"/>
          <w:color w:val="000000" w:themeColor="text1"/>
        </w:rPr>
        <w:t>34</w:t>
      </w:r>
      <w:r>
        <w:rPr>
          <w:color w:val="000000" w:themeColor="text1"/>
          <w:lang w:val="fr-FR"/>
        </w:rPr>
        <w:t>/T</w:t>
      </w:r>
      <w:r>
        <w:rPr>
          <w:color w:val="000000" w:themeColor="text1"/>
        </w:rPr>
        <w:fldChar w:fldCharType="end"/>
      </w:r>
      <w:bookmarkEnd w:id="5"/>
      <w:r>
        <w:rPr>
          <w:color w:val="000000" w:themeColor="text1"/>
          <w:lang w:val="fr-FR"/>
        </w:rPr>
        <w:t xml:space="preserve"> </w:t>
      </w:r>
      <w:r>
        <w:rPr>
          <w:color w:val="000000" w:themeColor="text1"/>
        </w:rPr>
        <w:fldChar w:fldCharType="begin">
          <w:ffData>
            <w:name w:val="NSTD_CODE_F"/>
            <w:enabled/>
            <w:calcOnExit w:val="0"/>
            <w:textInput>
              <w:default w:val="XXXX"/>
            </w:textInput>
          </w:ffData>
        </w:fldChar>
      </w:r>
      <w:bookmarkStart w:id="6" w:name="NSTD_CODE_F"/>
      <w:r>
        <w:rPr>
          <w:color w:val="000000" w:themeColor="text1"/>
          <w:lang w:val="fr-FR"/>
        </w:rPr>
        <w:instrText xml:space="preserve"> FORMTEXT </w:instrText>
      </w:r>
      <w:r>
        <w:rPr>
          <w:color w:val="000000" w:themeColor="text1"/>
        </w:rPr>
        <w:fldChar w:fldCharType="separate"/>
      </w:r>
      <w:r>
        <w:rPr>
          <w:color w:val="000000" w:themeColor="text1"/>
          <w:lang w:val="fr-FR"/>
        </w:rPr>
        <w:t>XXXX</w:t>
      </w:r>
      <w:r>
        <w:rPr>
          <w:color w:val="000000" w:themeColor="text1"/>
        </w:rPr>
        <w:fldChar w:fldCharType="end"/>
      </w:r>
      <w:bookmarkEnd w:id="6"/>
      <w:r>
        <w:rPr>
          <w:rFonts w:hAnsi="黑体"/>
          <w:color w:val="000000" w:themeColor="text1"/>
          <w:lang w:val="fr-FR"/>
        </w:rPr>
        <w:t>—</w:t>
      </w:r>
      <w:r>
        <w:rPr>
          <w:color w:val="000000" w:themeColor="text1"/>
        </w:rPr>
        <w:fldChar w:fldCharType="begin">
          <w:ffData>
            <w:name w:val="NSTD_CODE_B"/>
            <w:enabled/>
            <w:calcOnExit w:val="0"/>
            <w:textInput>
              <w:default w:val="XXXX"/>
            </w:textInput>
          </w:ffData>
        </w:fldChar>
      </w:r>
      <w:bookmarkStart w:id="7" w:name="NSTD_CODE_B"/>
      <w:r>
        <w:rPr>
          <w:color w:val="000000" w:themeColor="text1"/>
          <w:lang w:val="fr-FR"/>
        </w:rPr>
        <w:instrText xml:space="preserve"> FORMTEXT </w:instrText>
      </w:r>
      <w:r>
        <w:rPr>
          <w:color w:val="000000" w:themeColor="text1"/>
        </w:rPr>
        <w:fldChar w:fldCharType="separate"/>
      </w:r>
      <w:r>
        <w:rPr>
          <w:color w:val="000000" w:themeColor="text1"/>
          <w:lang w:val="fr-FR"/>
        </w:rPr>
        <w:t>XXXX</w:t>
      </w:r>
      <w:r>
        <w:rPr>
          <w:color w:val="000000" w:themeColor="text1"/>
        </w:rPr>
        <w:fldChar w:fldCharType="end"/>
      </w:r>
      <w:bookmarkEnd w:id="7"/>
    </w:p>
    <w:p w14:paraId="3E838B85">
      <w:pPr>
        <w:pStyle w:val="198"/>
        <w:rPr>
          <w:rFonts w:hAnsi="黑体"/>
          <w:color w:val="000000" w:themeColor="text1"/>
        </w:rPr>
      </w:pPr>
      <w:r>
        <w:rPr>
          <w:rFonts w:hAnsi="黑体"/>
          <w:color w:val="000000" w:themeColor="text1"/>
        </w:rPr>
        <w:fldChar w:fldCharType="begin">
          <w:ffData>
            <w:name w:val="OSTD_CODE"/>
            <w:enabled/>
            <w:calcOnExit w:val="0"/>
            <w:textInput/>
          </w:ffData>
        </w:fldChar>
      </w:r>
      <w:bookmarkStart w:id="8" w:name="OSTD_CODE"/>
      <w:r>
        <w:rPr>
          <w:rFonts w:hAnsi="黑体"/>
          <w:color w:val="000000" w:themeColor="text1"/>
        </w:rPr>
        <w:instrText xml:space="preserve"> FORMTEXT </w:instrText>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8"/>
    </w:p>
    <w:p w14:paraId="559CD465">
      <w:pPr>
        <w:spacing w:line="240" w:lineRule="auto"/>
        <w:rPr>
          <w:rFonts w:ascii="黑体" w:hAnsi="黑体" w:eastAsia="黑体"/>
          <w:color w:val="000000" w:themeColor="text1"/>
          <w:kern w:val="0"/>
          <w:sz w:val="10"/>
          <w:szCs w:val="10"/>
        </w:rPr>
      </w:pPr>
      <w:r>
        <w:rPr>
          <w:rFonts w:ascii="黑体" w:hAnsi="黑体" w:eastAsia="黑体"/>
          <w:color w:val="000000" w:themeColor="text1"/>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5D63DBFB">
      <w:pPr>
        <w:pStyle w:val="52"/>
        <w:framePr w:w="9639" w:h="6976" w:hRule="exact" w:hSpace="0" w:vSpace="0" w:wrap="around" w:hAnchor="page" w:y="6408"/>
        <w:jc w:val="center"/>
        <w:rPr>
          <w:rFonts w:ascii="黑体" w:hAnsi="黑体" w:eastAsia="黑体"/>
          <w:b w:val="0"/>
          <w:bCs w:val="0"/>
          <w:color w:val="000000" w:themeColor="text1"/>
          <w:w w:val="100"/>
        </w:rPr>
      </w:pPr>
    </w:p>
    <w:p w14:paraId="5586D990">
      <w:pPr>
        <w:pStyle w:val="199"/>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9" w:name="CSTD_NAME"/>
      <w:r>
        <w:rPr>
          <w:color w:val="000000" w:themeColor="text1"/>
        </w:rPr>
        <w:instrText xml:space="preserve"> FORMTEXT </w:instrText>
      </w:r>
      <w:r>
        <w:rPr>
          <w:color w:val="000000" w:themeColor="text1"/>
        </w:rPr>
        <w:fldChar w:fldCharType="separate"/>
      </w:r>
      <w:r>
        <w:rPr>
          <w:rFonts w:hint="eastAsia"/>
          <w:color w:val="000000" w:themeColor="text1"/>
          <w:lang w:val="en-US" w:eastAsia="zh-CN"/>
        </w:rPr>
        <w:t>塔式起重机安全</w:t>
      </w:r>
      <w:r>
        <w:rPr>
          <w:color w:val="000000" w:themeColor="text1"/>
        </w:rPr>
        <w:t>风险</w:t>
      </w:r>
      <w:r>
        <w:rPr>
          <w:rFonts w:hint="eastAsia"/>
          <w:color w:val="000000" w:themeColor="text1"/>
          <w:lang w:val="en-US" w:eastAsia="zh-CN"/>
        </w:rPr>
        <w:t>分级</w:t>
      </w:r>
      <w:r>
        <w:rPr>
          <w:color w:val="000000" w:themeColor="text1"/>
        </w:rPr>
        <w:t>管控和隐患排查治理导则</w:t>
      </w:r>
      <w:r>
        <w:rPr>
          <w:color w:val="000000" w:themeColor="text1"/>
        </w:rPr>
        <w:fldChar w:fldCharType="end"/>
      </w:r>
      <w:bookmarkEnd w:id="9"/>
    </w:p>
    <w:p w14:paraId="2E081004">
      <w:pPr>
        <w:framePr w:w="9639" w:h="6974" w:hRule="exact" w:wrap="around" w:vAnchor="page" w:hAnchor="page" w:x="1419" w:y="6408" w:anchorLock="1"/>
        <w:ind w:left="-1418"/>
        <w:rPr>
          <w:color w:val="000000" w:themeColor="text1"/>
        </w:rPr>
      </w:pPr>
    </w:p>
    <w:p w14:paraId="3904857B">
      <w:pPr>
        <w:pStyle w:val="127"/>
        <w:framePr w:w="9639" w:h="6974" w:hRule="exact" w:wrap="around" w:vAnchor="page" w:hAnchor="page" w:x="1419" w:y="6408" w:anchorLock="1"/>
        <w:textAlignment w:val="bottom"/>
        <w:rPr>
          <w:rFonts w:eastAsia="黑体"/>
          <w:color w:val="000000" w:themeColor="text1"/>
          <w:szCs w:val="28"/>
        </w:rPr>
      </w:pPr>
      <w:r>
        <w:rPr>
          <w:rFonts w:eastAsia="黑体"/>
          <w:color w:val="auto"/>
          <w:szCs w:val="28"/>
          <w:shd w:val="clear" w:color="auto" w:fill="auto"/>
        </w:rPr>
        <w:fldChar w:fldCharType="begin">
          <w:ffData>
            <w:name w:val="ESTD_NAME"/>
            <w:enabled/>
            <w:calcOnExit w:val="0"/>
            <w:textInput>
              <w:default w:val="点击此处添加标准名称的英文译名"/>
            </w:textInput>
          </w:ffData>
        </w:fldChar>
      </w:r>
      <w:bookmarkStart w:id="10" w:name="ESTD_NAME"/>
      <w:r>
        <w:rPr>
          <w:rFonts w:eastAsia="黑体"/>
          <w:color w:val="auto"/>
          <w:szCs w:val="28"/>
          <w:shd w:val="clear" w:color="auto" w:fill="auto"/>
        </w:rPr>
        <w:instrText xml:space="preserve"> FORMTEXT </w:instrText>
      </w:r>
      <w:r>
        <w:rPr>
          <w:rFonts w:eastAsia="黑体"/>
          <w:color w:val="auto"/>
          <w:szCs w:val="28"/>
          <w:shd w:val="clear" w:color="auto" w:fill="auto"/>
        </w:rPr>
        <w:fldChar w:fldCharType="separate"/>
      </w:r>
      <w:r>
        <w:rPr>
          <w:rFonts w:eastAsia="黑体"/>
          <w:color w:val="auto"/>
          <w:szCs w:val="28"/>
          <w:shd w:val="clear" w:color="auto" w:fill="auto"/>
        </w:rPr>
        <w:t xml:space="preserve">Guide for </w:t>
      </w:r>
      <w:r>
        <w:rPr>
          <w:rFonts w:hint="eastAsia" w:eastAsia="黑体"/>
          <w:color w:val="auto"/>
          <w:szCs w:val="28"/>
          <w:shd w:val="clear" w:color="auto" w:fill="auto"/>
          <w:lang w:val="en-US" w:eastAsia="zh-CN"/>
        </w:rPr>
        <w:t xml:space="preserve">safety </w:t>
      </w:r>
      <w:r>
        <w:rPr>
          <w:rFonts w:eastAsia="黑体"/>
          <w:color w:val="auto"/>
          <w:szCs w:val="28"/>
          <w:shd w:val="clear" w:color="auto" w:fill="auto"/>
        </w:rPr>
        <w:t>risk</w:t>
      </w:r>
      <w:r>
        <w:rPr>
          <w:rFonts w:hint="eastAsia" w:eastAsia="黑体"/>
          <w:color w:val="auto"/>
          <w:szCs w:val="28"/>
          <w:shd w:val="clear" w:color="auto" w:fill="auto"/>
          <w:lang w:val="en-US" w:eastAsia="zh-CN"/>
        </w:rPr>
        <w:t xml:space="preserve"> classification</w:t>
      </w:r>
      <w:r>
        <w:rPr>
          <w:rFonts w:eastAsia="黑体"/>
          <w:color w:val="auto"/>
          <w:szCs w:val="28"/>
          <w:shd w:val="clear" w:color="auto" w:fill="auto"/>
        </w:rPr>
        <w:t xml:space="preserve"> control and hidden danger investigation and treatment of </w:t>
      </w:r>
      <w:r>
        <w:rPr>
          <w:rFonts w:hint="eastAsia" w:eastAsia="黑体"/>
          <w:color w:val="auto"/>
          <w:szCs w:val="28"/>
          <w:shd w:val="clear" w:color="auto" w:fill="auto"/>
          <w:lang w:val="en-US" w:eastAsia="zh-CN"/>
        </w:rPr>
        <w:t>t</w:t>
      </w:r>
      <w:r>
        <w:rPr>
          <w:rFonts w:eastAsia="黑体"/>
          <w:color w:val="auto"/>
          <w:szCs w:val="28"/>
          <w:shd w:val="clear" w:color="auto" w:fill="auto"/>
        </w:rPr>
        <w:fldChar w:fldCharType="end"/>
      </w:r>
      <w:bookmarkEnd w:id="10"/>
      <w:r>
        <w:rPr>
          <w:rFonts w:hint="eastAsia" w:eastAsia="黑体"/>
          <w:color w:val="000000" w:themeColor="text1"/>
          <w:szCs w:val="28"/>
          <w:shd w:val="clear" w:color="FFFFFF" w:fill="D9D9D9"/>
          <w:lang w:val="en-US" w:eastAsia="zh-CN"/>
        </w:rPr>
        <w:t>ower cranes</w:t>
      </w:r>
    </w:p>
    <w:p w14:paraId="04656D8C">
      <w:pPr>
        <w:framePr w:w="9639" w:h="6974" w:hRule="exact" w:wrap="around" w:vAnchor="page" w:hAnchor="page" w:x="1419" w:y="6408" w:anchorLock="1"/>
        <w:spacing w:line="760" w:lineRule="exact"/>
        <w:ind w:left="-1418"/>
        <w:rPr>
          <w:color w:val="000000" w:themeColor="text1"/>
        </w:rPr>
      </w:pPr>
    </w:p>
    <w:p w14:paraId="141E0194">
      <w:pPr>
        <w:pStyle w:val="127"/>
        <w:framePr w:w="9639" w:h="6974" w:hRule="exact" w:wrap="around" w:vAnchor="page" w:hAnchor="page" w:x="1419" w:y="6408" w:anchorLock="1"/>
        <w:textAlignment w:val="bottom"/>
        <w:rPr>
          <w:rFonts w:eastAsia="黑体"/>
          <w:color w:val="000000" w:themeColor="text1"/>
          <w:szCs w:val="28"/>
        </w:rPr>
      </w:pPr>
    </w:p>
    <w:p w14:paraId="1ADFF164">
      <w:pPr>
        <w:pStyle w:val="127"/>
        <w:framePr w:w="9639" w:h="6974" w:hRule="exact" w:wrap="around" w:vAnchor="page" w:hAnchor="page" w:x="1419" w:y="6408" w:anchorLock="1"/>
        <w:spacing w:before="440" w:after="160"/>
        <w:textAlignment w:val="bottom"/>
        <w:rPr>
          <w:color w:val="000000" w:themeColor="text1"/>
          <w:sz w:val="24"/>
          <w:szCs w:val="28"/>
        </w:rPr>
      </w:pPr>
      <w:r>
        <w:rPr>
          <w:rFonts w:hint="eastAsia"/>
          <w:color w:val="000000" w:themeColor="text1"/>
          <w:sz w:val="24"/>
          <w:szCs w:val="28"/>
          <w:lang w:val="en-US" w:eastAsia="zh-CN"/>
        </w:rPr>
        <w:t>征求意见</w:t>
      </w:r>
      <w:r>
        <w:rPr>
          <w:color w:val="000000" w:themeColor="text1"/>
          <w:sz w:val="24"/>
          <w:szCs w:val="28"/>
        </w:rPr>
        <w:t>稿</w:t>
      </w:r>
      <w:r>
        <w:rPr>
          <w:color w:val="000000" w:themeColor="text1"/>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color w:val="000000" w:themeColor="text1"/>
          <w:sz w:val="24"/>
          <w:szCs w:val="28"/>
        </w:rPr>
        <w:instrText xml:space="preserve"> FORMDROPDOWN </w:instrText>
      </w:r>
      <w:r>
        <w:rPr>
          <w:color w:val="000000" w:themeColor="text1"/>
          <w:sz w:val="24"/>
          <w:szCs w:val="28"/>
        </w:rPr>
        <w:fldChar w:fldCharType="separate"/>
      </w:r>
      <w:r>
        <w:rPr>
          <w:color w:val="000000" w:themeColor="text1"/>
          <w:sz w:val="24"/>
          <w:szCs w:val="28"/>
        </w:rPr>
        <w:fldChar w:fldCharType="end"/>
      </w:r>
      <w:bookmarkEnd w:id="11"/>
    </w:p>
    <w:p w14:paraId="3E45F2CF">
      <w:pPr>
        <w:pStyle w:val="127"/>
        <w:framePr w:w="9639" w:h="6974" w:hRule="exact" w:wrap="around" w:vAnchor="page" w:hAnchor="page" w:x="1419" w:y="6408" w:anchorLock="1"/>
        <w:spacing w:beforeLines="300" w:afterLines="30"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fldChar w:fldCharType="separate"/>
      </w:r>
      <w:r>
        <w:rPr>
          <w:b/>
          <w:color w:val="000000" w:themeColor="text1"/>
          <w:sz w:val="21"/>
          <w:szCs w:val="28"/>
        </w:rPr>
        <w:fldChar w:fldCharType="end"/>
      </w:r>
      <w:bookmarkEnd w:id="12"/>
    </w:p>
    <w:p w14:paraId="459C3668">
      <w:pPr>
        <w:pStyle w:val="195"/>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14:paraId="6C408A73">
      <w:pPr>
        <w:pStyle w:val="196"/>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14:paraId="7BEB4919">
      <w:pPr>
        <w:pStyle w:val="153"/>
        <w:framePr w:h="584" w:hRule="exact" w:hSpace="181" w:vSpace="181" w:wrap="around" w:y="15027"/>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FORMTEXT </w:instrText>
      </w:r>
      <w:r>
        <w:rPr>
          <w:rFonts w:hAnsi="黑体"/>
          <w:color w:val="000000" w:themeColor="text1"/>
          <w:w w:val="100"/>
          <w:sz w:val="28"/>
        </w:rPr>
        <w:fldChar w:fldCharType="separate"/>
      </w:r>
      <w:r>
        <w:rPr>
          <w:rFonts w:hint="eastAsia" w:hAnsi="黑体"/>
          <w:color w:val="000000" w:themeColor="text1"/>
          <w:w w:val="100"/>
          <w:sz w:val="28"/>
        </w:rPr>
        <w:t>安徽省</w:t>
      </w:r>
      <w:r>
        <w:rPr>
          <w:rFonts w:hAnsi="黑体"/>
          <w:color w:val="000000" w:themeColor="text1"/>
          <w:w w:val="100"/>
          <w:sz w:val="28"/>
        </w:rPr>
        <w:t>市场监督管理局</w:t>
      </w:r>
      <w:r>
        <w:rPr>
          <w:rFonts w:hAnsi="黑体"/>
          <w:color w:val="000000" w:themeColor="text1"/>
          <w:w w:val="100"/>
          <w:sz w:val="28"/>
        </w:rPr>
        <w:fldChar w:fldCharType="end"/>
      </w:r>
      <w:bookmarkEnd w:id="19"/>
      <w:r>
        <w:rPr>
          <w:rFonts w:ascii="Times New Roman"/>
          <w:color w:val="000000" w:themeColor="text1"/>
          <w:w w:val="100"/>
          <w:sz w:val="28"/>
        </w:rPr>
        <w:t>  </w:t>
      </w:r>
      <w:r>
        <w:rPr>
          <w:rStyle w:val="231"/>
          <w:rFonts w:hint="eastAsia" w:hAnsi="黑体"/>
          <w:color w:val="000000" w:themeColor="text1"/>
          <w:position w:val="0"/>
        </w:rPr>
        <w:t>发</w:t>
      </w:r>
      <w:r>
        <w:rPr>
          <w:rStyle w:val="231"/>
          <w:rFonts w:hint="eastAsia" w:hAnsi="黑体"/>
          <w:color w:val="000000" w:themeColor="text1"/>
          <w:spacing w:val="0"/>
          <w:position w:val="0"/>
        </w:rPr>
        <w:t>布</w:t>
      </w:r>
    </w:p>
    <w:p w14:paraId="494D22BB">
      <w:pPr>
        <w:rPr>
          <w:rFonts w:ascii="宋体" w:hAnsi="宋体"/>
          <w:color w:val="000000" w:themeColor="text1"/>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color w:val="000000" w:themeColor="text1"/>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7B5C155B">
      <w:pPr>
        <w:pStyle w:val="93"/>
        <w:spacing w:after="468"/>
        <w:rPr>
          <w:rFonts w:hint="eastAsia"/>
        </w:rPr>
      </w:pPr>
      <w:bookmarkStart w:id="20" w:name="BookMark1"/>
      <w:bookmarkStart w:id="21" w:name="_Toc185426261"/>
      <w:bookmarkStart w:id="22" w:name="_Toc182082964"/>
      <w:r>
        <w:rPr>
          <w:rFonts w:hint="eastAsia"/>
          <w:spacing w:val="320"/>
        </w:rPr>
        <w:t>目</w:t>
      </w:r>
      <w:r>
        <w:rPr>
          <w:rFonts w:hint="eastAsia"/>
        </w:rPr>
        <w:t>次</w:t>
      </w:r>
    </w:p>
    <w:p w14:paraId="09301117">
      <w:pPr>
        <w:pStyle w:val="21"/>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"标准文件_一级条标题,2,标准文件_二级条标题,3,标准文件_附录一级条标题,2,标准文件_附录二级条标题,3,"</w:instrText>
      </w:r>
      <w:r>
        <w:instrText xml:space="preserve"> </w:instrText>
      </w:r>
      <w:r>
        <w:fldChar w:fldCharType="separate"/>
      </w:r>
      <w:r>
        <w:fldChar w:fldCharType="begin"/>
      </w:r>
      <w:r>
        <w:instrText xml:space="preserve"> HYPERLINK \l "_Toc185672245" </w:instrText>
      </w:r>
      <w:r>
        <w:fldChar w:fldCharType="separate"/>
      </w:r>
      <w:r>
        <w:rPr>
          <w:rStyle w:val="34"/>
          <w:rFonts w:hint="eastAsia"/>
        </w:rPr>
        <w:t>前言</w:t>
      </w:r>
      <w:r>
        <w:tab/>
      </w:r>
      <w:r>
        <w:fldChar w:fldCharType="begin"/>
      </w:r>
      <w:r>
        <w:instrText xml:space="preserve"> PAGEREF _Toc185672245 \h </w:instrText>
      </w:r>
      <w:r>
        <w:fldChar w:fldCharType="separate"/>
      </w:r>
      <w:r>
        <w:t>III</w:t>
      </w:r>
      <w:r>
        <w:fldChar w:fldCharType="end"/>
      </w:r>
      <w:r>
        <w:fldChar w:fldCharType="end"/>
      </w:r>
    </w:p>
    <w:p w14:paraId="5522E077">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"_Toc185672246" </w:instrText>
      </w:r>
      <w:r>
        <w:fldChar w:fldCharType="separate"/>
      </w:r>
      <w:r>
        <w:rPr>
          <w:rStyle w:val="34"/>
        </w:rPr>
        <w:t xml:space="preserve">1 </w:t>
      </w:r>
      <w:r>
        <w:rPr>
          <w:rStyle w:val="34"/>
          <w:rFonts w:hint="eastAsia"/>
        </w:rPr>
        <w:t xml:space="preserve"> 范围</w:t>
      </w:r>
      <w:r>
        <w:tab/>
      </w:r>
      <w:r>
        <w:fldChar w:fldCharType="begin"/>
      </w:r>
      <w:r>
        <w:instrText xml:space="preserve"> PAGEREF _Toc185672246 \h </w:instrText>
      </w:r>
      <w:r>
        <w:fldChar w:fldCharType="separate"/>
      </w:r>
      <w:r>
        <w:t>1</w:t>
      </w:r>
      <w:r>
        <w:fldChar w:fldCharType="end"/>
      </w:r>
      <w:r>
        <w:fldChar w:fldCharType="end"/>
      </w:r>
    </w:p>
    <w:p w14:paraId="33DD39D8">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"_Toc185672247"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_Toc185672247 \h </w:instrText>
      </w:r>
      <w:r>
        <w:fldChar w:fldCharType="separate"/>
      </w:r>
      <w:r>
        <w:t>1</w:t>
      </w:r>
      <w:r>
        <w:fldChar w:fldCharType="end"/>
      </w:r>
      <w:r>
        <w:fldChar w:fldCharType="end"/>
      </w:r>
    </w:p>
    <w:p w14:paraId="16F40875">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"_Toc185672248"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_Toc185672248 \h </w:instrText>
      </w:r>
      <w:r>
        <w:fldChar w:fldCharType="separate"/>
      </w:r>
      <w:r>
        <w:t>1</w:t>
      </w:r>
      <w:r>
        <w:fldChar w:fldCharType="end"/>
      </w:r>
      <w:r>
        <w:fldChar w:fldCharType="end"/>
      </w:r>
    </w:p>
    <w:p w14:paraId="36CBF7CA">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"_Toc185672249" </w:instrText>
      </w:r>
      <w:r>
        <w:fldChar w:fldCharType="separate"/>
      </w:r>
      <w:r>
        <w:rPr>
          <w:rStyle w:val="34"/>
        </w:rPr>
        <w:t xml:space="preserve">4 </w:t>
      </w:r>
      <w:r>
        <w:rPr>
          <w:rStyle w:val="34"/>
          <w:rFonts w:hint="eastAsia"/>
        </w:rPr>
        <w:t xml:space="preserve"> 基本要求</w:t>
      </w:r>
      <w:r>
        <w:tab/>
      </w:r>
      <w:r>
        <w:fldChar w:fldCharType="begin"/>
      </w:r>
      <w:r>
        <w:instrText xml:space="preserve"> PAGEREF _Toc185672249 \h </w:instrText>
      </w:r>
      <w:r>
        <w:fldChar w:fldCharType="separate"/>
      </w:r>
      <w:r>
        <w:t>2</w:t>
      </w:r>
      <w:r>
        <w:fldChar w:fldCharType="end"/>
      </w:r>
      <w:r>
        <w:fldChar w:fldCharType="end"/>
      </w:r>
    </w:p>
    <w:p w14:paraId="59CE6B4C">
      <w:pPr>
        <w:pStyle w:val="26"/>
        <w:rPr>
          <w:rFonts w:asciiTheme="minorHAnsi" w:hAnsiTheme="minorHAnsi" w:eastAsiaTheme="minorEastAsia" w:cstheme="minorBidi"/>
          <w:szCs w:val="22"/>
        </w:rPr>
      </w:pPr>
      <w:r>
        <w:fldChar w:fldCharType="begin"/>
      </w:r>
      <w:r>
        <w:instrText xml:space="preserve"> HYPERLINK \l "_Toc185672250" </w:instrText>
      </w:r>
      <w:r>
        <w:fldChar w:fldCharType="separate"/>
      </w:r>
      <w:r>
        <w:rPr>
          <w:rStyle w:val="34"/>
        </w:rPr>
        <w:t xml:space="preserve">4.1 </w:t>
      </w:r>
      <w:r>
        <w:rPr>
          <w:rStyle w:val="34"/>
          <w:rFonts w:hint="eastAsia"/>
        </w:rPr>
        <w:t xml:space="preserve"> 风险管控和隐患排查治理</w:t>
      </w:r>
      <w:r>
        <w:tab/>
      </w:r>
      <w:r>
        <w:fldChar w:fldCharType="begin"/>
      </w:r>
      <w:r>
        <w:instrText xml:space="preserve"> PAGEREF _Toc185672250 \h </w:instrText>
      </w:r>
      <w:r>
        <w:fldChar w:fldCharType="separate"/>
      </w:r>
      <w:r>
        <w:t>2</w:t>
      </w:r>
      <w:r>
        <w:fldChar w:fldCharType="end"/>
      </w:r>
      <w:r>
        <w:fldChar w:fldCharType="end"/>
      </w:r>
    </w:p>
    <w:p w14:paraId="2F3A0617">
      <w:pPr>
        <w:pStyle w:val="26"/>
        <w:rPr>
          <w:rFonts w:asciiTheme="minorHAnsi" w:hAnsiTheme="minorHAnsi" w:eastAsiaTheme="minorEastAsia" w:cstheme="minorBidi"/>
          <w:szCs w:val="22"/>
        </w:rPr>
      </w:pPr>
      <w:r>
        <w:fldChar w:fldCharType="begin"/>
      </w:r>
      <w:r>
        <w:instrText xml:space="preserve"> HYPERLINK \l "_Toc185672251" </w:instrText>
      </w:r>
      <w:r>
        <w:fldChar w:fldCharType="separate"/>
      </w:r>
      <w:r>
        <w:rPr>
          <w:rStyle w:val="34"/>
        </w:rPr>
        <w:t xml:space="preserve">4.2 </w:t>
      </w:r>
      <w:r>
        <w:rPr>
          <w:rStyle w:val="34"/>
          <w:rFonts w:hint="eastAsia"/>
        </w:rPr>
        <w:t xml:space="preserve"> 机构设置</w:t>
      </w:r>
      <w:r>
        <w:tab/>
      </w:r>
      <w:r>
        <w:fldChar w:fldCharType="begin"/>
      </w:r>
      <w:r>
        <w:instrText xml:space="preserve"> PAGEREF _Toc185672251 \h </w:instrText>
      </w:r>
      <w:r>
        <w:fldChar w:fldCharType="separate"/>
      </w:r>
      <w:r>
        <w:t>2</w:t>
      </w:r>
      <w:r>
        <w:fldChar w:fldCharType="end"/>
      </w:r>
      <w:r>
        <w:fldChar w:fldCharType="end"/>
      </w:r>
    </w:p>
    <w:p w14:paraId="1A20B531">
      <w:pPr>
        <w:pStyle w:val="26"/>
        <w:rPr>
          <w:rFonts w:asciiTheme="minorHAnsi" w:hAnsiTheme="minorHAnsi" w:eastAsiaTheme="minorEastAsia" w:cstheme="minorBidi"/>
          <w:szCs w:val="22"/>
        </w:rPr>
      </w:pPr>
      <w:r>
        <w:fldChar w:fldCharType="begin"/>
      </w:r>
      <w:r>
        <w:instrText xml:space="preserve"> HYPERLINK \l "_Toc185672252" </w:instrText>
      </w:r>
      <w:r>
        <w:fldChar w:fldCharType="separate"/>
      </w:r>
      <w:r>
        <w:rPr>
          <w:rStyle w:val="34"/>
        </w:rPr>
        <w:t xml:space="preserve">4.3 </w:t>
      </w:r>
      <w:r>
        <w:rPr>
          <w:rStyle w:val="34"/>
          <w:rFonts w:hint="eastAsia"/>
        </w:rPr>
        <w:t xml:space="preserve"> 人员职责</w:t>
      </w:r>
      <w:r>
        <w:tab/>
      </w:r>
      <w:r>
        <w:fldChar w:fldCharType="begin"/>
      </w:r>
      <w:r>
        <w:instrText xml:space="preserve"> PAGEREF _Toc185672252 \h </w:instrText>
      </w:r>
      <w:r>
        <w:fldChar w:fldCharType="separate"/>
      </w:r>
      <w:r>
        <w:t>2</w:t>
      </w:r>
      <w:r>
        <w:fldChar w:fldCharType="end"/>
      </w:r>
      <w:r>
        <w:fldChar w:fldCharType="end"/>
      </w:r>
    </w:p>
    <w:p w14:paraId="3898629F">
      <w:pPr>
        <w:pStyle w:val="26"/>
        <w:rPr>
          <w:rFonts w:asciiTheme="minorHAnsi" w:hAnsiTheme="minorHAnsi" w:eastAsiaTheme="minorEastAsia" w:cstheme="minorBidi"/>
          <w:szCs w:val="22"/>
        </w:rPr>
      </w:pPr>
      <w:r>
        <w:fldChar w:fldCharType="begin"/>
      </w:r>
      <w:r>
        <w:instrText xml:space="preserve"> HYPERLINK \l "_Toc185672253" </w:instrText>
      </w:r>
      <w:r>
        <w:fldChar w:fldCharType="separate"/>
      </w:r>
      <w:r>
        <w:rPr>
          <w:rStyle w:val="34"/>
        </w:rPr>
        <w:t xml:space="preserve">4.4 </w:t>
      </w:r>
      <w:r>
        <w:rPr>
          <w:rStyle w:val="34"/>
          <w:rFonts w:hint="eastAsia"/>
        </w:rPr>
        <w:t xml:space="preserve"> 管理制度</w:t>
      </w:r>
      <w:r>
        <w:tab/>
      </w:r>
      <w:r>
        <w:fldChar w:fldCharType="begin"/>
      </w:r>
      <w:r>
        <w:instrText xml:space="preserve"> PAGEREF _Toc185672253 \h </w:instrText>
      </w:r>
      <w:r>
        <w:fldChar w:fldCharType="separate"/>
      </w:r>
      <w:r>
        <w:t>2</w:t>
      </w:r>
      <w:r>
        <w:fldChar w:fldCharType="end"/>
      </w:r>
      <w:r>
        <w:fldChar w:fldCharType="end"/>
      </w:r>
    </w:p>
    <w:p w14:paraId="3F1C0435">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"_Toc185672254" </w:instrText>
      </w:r>
      <w:r>
        <w:fldChar w:fldCharType="separate"/>
      </w:r>
      <w:r>
        <w:rPr>
          <w:rStyle w:val="34"/>
        </w:rPr>
        <w:t xml:space="preserve">5 </w:t>
      </w:r>
      <w:r>
        <w:rPr>
          <w:rStyle w:val="34"/>
          <w:rFonts w:hint="eastAsia"/>
        </w:rPr>
        <w:t xml:space="preserve"> 风险管控</w:t>
      </w:r>
      <w:r>
        <w:tab/>
      </w:r>
      <w:r>
        <w:fldChar w:fldCharType="begin"/>
      </w:r>
      <w:r>
        <w:instrText xml:space="preserve"> PAGEREF _Toc185672254 \h </w:instrText>
      </w:r>
      <w:r>
        <w:fldChar w:fldCharType="separate"/>
      </w:r>
      <w:r>
        <w:t>3</w:t>
      </w:r>
      <w:r>
        <w:fldChar w:fldCharType="end"/>
      </w:r>
      <w:r>
        <w:fldChar w:fldCharType="end"/>
      </w:r>
    </w:p>
    <w:p w14:paraId="7FB6F354">
      <w:pPr>
        <w:pStyle w:val="26"/>
        <w:rPr>
          <w:rFonts w:asciiTheme="minorHAnsi" w:hAnsiTheme="minorHAnsi" w:eastAsiaTheme="minorEastAsia" w:cstheme="minorBidi"/>
          <w:szCs w:val="22"/>
        </w:rPr>
      </w:pPr>
      <w:r>
        <w:fldChar w:fldCharType="begin"/>
      </w:r>
      <w:r>
        <w:instrText xml:space="preserve"> HYPERLINK \l "_Toc185672255" </w:instrText>
      </w:r>
      <w:r>
        <w:fldChar w:fldCharType="separate"/>
      </w:r>
      <w:r>
        <w:rPr>
          <w:rStyle w:val="34"/>
        </w:rPr>
        <w:t xml:space="preserve">5.1 </w:t>
      </w:r>
      <w:r>
        <w:rPr>
          <w:rStyle w:val="34"/>
          <w:rFonts w:hint="eastAsia"/>
        </w:rPr>
        <w:t xml:space="preserve"> 风险管控周期和流程</w:t>
      </w:r>
      <w:r>
        <w:tab/>
      </w:r>
      <w:r>
        <w:fldChar w:fldCharType="begin"/>
      </w:r>
      <w:r>
        <w:instrText xml:space="preserve"> PAGEREF _Toc185672255 \h </w:instrText>
      </w:r>
      <w:r>
        <w:fldChar w:fldCharType="separate"/>
      </w:r>
      <w:r>
        <w:t>3</w:t>
      </w:r>
      <w:r>
        <w:fldChar w:fldCharType="end"/>
      </w:r>
      <w:r>
        <w:fldChar w:fldCharType="end"/>
      </w:r>
    </w:p>
    <w:p w14:paraId="7E293D5A">
      <w:pPr>
        <w:pStyle w:val="26"/>
        <w:rPr>
          <w:rFonts w:asciiTheme="minorHAnsi" w:hAnsiTheme="minorHAnsi" w:eastAsiaTheme="minorEastAsia" w:cstheme="minorBidi"/>
          <w:szCs w:val="22"/>
        </w:rPr>
      </w:pPr>
      <w:r>
        <w:fldChar w:fldCharType="begin"/>
      </w:r>
      <w:r>
        <w:instrText xml:space="preserve"> HYPERLINK \l "_Toc185672256" </w:instrText>
      </w:r>
      <w:r>
        <w:fldChar w:fldCharType="separate"/>
      </w:r>
      <w:r>
        <w:rPr>
          <w:rStyle w:val="34"/>
        </w:rPr>
        <w:t xml:space="preserve">5.2 </w:t>
      </w:r>
      <w:r>
        <w:rPr>
          <w:rStyle w:val="34"/>
          <w:rFonts w:hint="eastAsia"/>
        </w:rPr>
        <w:t xml:space="preserve"> 工作准备</w:t>
      </w:r>
      <w:r>
        <w:tab/>
      </w:r>
      <w:r>
        <w:fldChar w:fldCharType="begin"/>
      </w:r>
      <w:r>
        <w:instrText xml:space="preserve"> PAGEREF _Toc185672256 \h </w:instrText>
      </w:r>
      <w:r>
        <w:fldChar w:fldCharType="separate"/>
      </w:r>
      <w:r>
        <w:t>3</w:t>
      </w:r>
      <w:r>
        <w:fldChar w:fldCharType="end"/>
      </w:r>
      <w:r>
        <w:fldChar w:fldCharType="end"/>
      </w:r>
    </w:p>
    <w:p w14:paraId="16A4D17B">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"_Toc185672257" </w:instrText>
      </w:r>
      <w:r>
        <w:fldChar w:fldCharType="separate"/>
      </w:r>
      <w:r>
        <w:rPr>
          <w:rStyle w:val="34"/>
        </w:rPr>
        <w:t xml:space="preserve">5.2.1 </w:t>
      </w:r>
      <w:r>
        <w:rPr>
          <w:rStyle w:val="34"/>
          <w:rFonts w:hint="eastAsia"/>
        </w:rPr>
        <w:t xml:space="preserve"> 资料收集</w:t>
      </w:r>
      <w:r>
        <w:tab/>
      </w:r>
      <w:r>
        <w:fldChar w:fldCharType="begin"/>
      </w:r>
      <w:r>
        <w:instrText xml:space="preserve"> PAGEREF _Toc185672257 \h </w:instrText>
      </w:r>
      <w:r>
        <w:fldChar w:fldCharType="separate"/>
      </w:r>
      <w:r>
        <w:t>3</w:t>
      </w:r>
      <w:r>
        <w:fldChar w:fldCharType="end"/>
      </w:r>
      <w:r>
        <w:fldChar w:fldCharType="end"/>
      </w:r>
    </w:p>
    <w:p w14:paraId="5224740F">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"_Toc185672258" </w:instrText>
      </w:r>
      <w:r>
        <w:fldChar w:fldCharType="separate"/>
      </w:r>
      <w:r>
        <w:rPr>
          <w:rStyle w:val="34"/>
        </w:rPr>
        <w:t xml:space="preserve">5.2.2 </w:t>
      </w:r>
      <w:r>
        <w:rPr>
          <w:rStyle w:val="34"/>
          <w:rFonts w:hint="eastAsia"/>
        </w:rPr>
        <w:t xml:space="preserve"> 现场调研</w:t>
      </w:r>
      <w:r>
        <w:tab/>
      </w:r>
      <w:r>
        <w:fldChar w:fldCharType="begin"/>
      </w:r>
      <w:r>
        <w:instrText xml:space="preserve"> PAGEREF _Toc185672258 \h </w:instrText>
      </w:r>
      <w:r>
        <w:fldChar w:fldCharType="separate"/>
      </w:r>
      <w:r>
        <w:t>3</w:t>
      </w:r>
      <w:r>
        <w:fldChar w:fldCharType="end"/>
      </w:r>
      <w:r>
        <w:fldChar w:fldCharType="end"/>
      </w:r>
    </w:p>
    <w:p w14:paraId="2E44A8D8">
      <w:pPr>
        <w:pStyle w:val="26"/>
        <w:rPr>
          <w:rFonts w:asciiTheme="minorHAnsi" w:hAnsiTheme="minorHAnsi" w:eastAsiaTheme="minorEastAsia" w:cstheme="minorBidi"/>
          <w:szCs w:val="22"/>
        </w:rPr>
      </w:pPr>
      <w:r>
        <w:fldChar w:fldCharType="begin"/>
      </w:r>
      <w:r>
        <w:instrText xml:space="preserve"> HYPERLINK \l "_Toc185672259" </w:instrText>
      </w:r>
      <w:r>
        <w:fldChar w:fldCharType="separate"/>
      </w:r>
      <w:r>
        <w:rPr>
          <w:rStyle w:val="34"/>
        </w:rPr>
        <w:t xml:space="preserve">5.3 </w:t>
      </w:r>
      <w:r>
        <w:rPr>
          <w:rStyle w:val="34"/>
          <w:rFonts w:hint="eastAsia"/>
        </w:rPr>
        <w:t xml:space="preserve"> 风险辨识</w:t>
      </w:r>
      <w:r>
        <w:tab/>
      </w:r>
      <w:r>
        <w:fldChar w:fldCharType="begin"/>
      </w:r>
      <w:r>
        <w:instrText xml:space="preserve"> PAGEREF _Toc185672259 \h </w:instrText>
      </w:r>
      <w:r>
        <w:fldChar w:fldCharType="separate"/>
      </w:r>
      <w:r>
        <w:t>4</w:t>
      </w:r>
      <w:r>
        <w:fldChar w:fldCharType="end"/>
      </w:r>
      <w:r>
        <w:fldChar w:fldCharType="end"/>
      </w:r>
    </w:p>
    <w:p w14:paraId="69EB7933">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"_Toc185672260" </w:instrText>
      </w:r>
      <w:r>
        <w:fldChar w:fldCharType="separate"/>
      </w:r>
      <w:r>
        <w:rPr>
          <w:rStyle w:val="34"/>
        </w:rPr>
        <w:t xml:space="preserve">5.3.1 </w:t>
      </w:r>
      <w:r>
        <w:rPr>
          <w:rStyle w:val="34"/>
          <w:rFonts w:hint="eastAsia"/>
        </w:rPr>
        <w:t xml:space="preserve"> 风险源辨识内容</w:t>
      </w:r>
      <w:r>
        <w:tab/>
      </w:r>
      <w:r>
        <w:fldChar w:fldCharType="begin"/>
      </w:r>
      <w:r>
        <w:instrText xml:space="preserve"> PAGEREF _Toc185672260 \h </w:instrText>
      </w:r>
      <w:r>
        <w:fldChar w:fldCharType="separate"/>
      </w:r>
      <w:r>
        <w:t>4</w:t>
      </w:r>
      <w:r>
        <w:fldChar w:fldCharType="end"/>
      </w:r>
      <w:r>
        <w:fldChar w:fldCharType="end"/>
      </w:r>
    </w:p>
    <w:p w14:paraId="6EA9AB91">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"_Toc185672261" </w:instrText>
      </w:r>
      <w:r>
        <w:fldChar w:fldCharType="separate"/>
      </w:r>
      <w:r>
        <w:rPr>
          <w:rStyle w:val="34"/>
        </w:rPr>
        <w:t xml:space="preserve">5.3.2 </w:t>
      </w:r>
      <w:r>
        <w:rPr>
          <w:rStyle w:val="34"/>
          <w:rFonts w:hint="eastAsia"/>
        </w:rPr>
        <w:t xml:space="preserve"> 风险源辨识方法</w:t>
      </w:r>
      <w:r>
        <w:tab/>
      </w:r>
      <w:r>
        <w:fldChar w:fldCharType="begin"/>
      </w:r>
      <w:r>
        <w:instrText xml:space="preserve"> PAGEREF _Toc185672261 \h </w:instrText>
      </w:r>
      <w:r>
        <w:fldChar w:fldCharType="separate"/>
      </w:r>
      <w:r>
        <w:t>4</w:t>
      </w:r>
      <w:r>
        <w:fldChar w:fldCharType="end"/>
      </w:r>
      <w:r>
        <w:fldChar w:fldCharType="end"/>
      </w:r>
    </w:p>
    <w:p w14:paraId="60E8E3BB">
      <w:pPr>
        <w:pStyle w:val="26"/>
        <w:rPr>
          <w:rFonts w:asciiTheme="minorHAnsi" w:hAnsiTheme="minorHAnsi" w:eastAsiaTheme="minorEastAsia" w:cstheme="minorBidi"/>
          <w:szCs w:val="22"/>
        </w:rPr>
      </w:pPr>
      <w:r>
        <w:fldChar w:fldCharType="begin"/>
      </w:r>
      <w:r>
        <w:instrText xml:space="preserve"> HYPERLINK \l "_Toc185672262" </w:instrText>
      </w:r>
      <w:r>
        <w:fldChar w:fldCharType="separate"/>
      </w:r>
      <w:r>
        <w:rPr>
          <w:rStyle w:val="34"/>
        </w:rPr>
        <w:t xml:space="preserve">5.4 </w:t>
      </w:r>
      <w:r>
        <w:rPr>
          <w:rStyle w:val="34"/>
          <w:rFonts w:hint="eastAsia"/>
        </w:rPr>
        <w:t xml:space="preserve"> 风险评价</w:t>
      </w:r>
      <w:r>
        <w:tab/>
      </w:r>
      <w:r>
        <w:fldChar w:fldCharType="begin"/>
      </w:r>
      <w:r>
        <w:instrText xml:space="preserve"> PAGEREF _Toc185672262 \h </w:instrText>
      </w:r>
      <w:r>
        <w:fldChar w:fldCharType="separate"/>
      </w:r>
      <w:r>
        <w:t>4</w:t>
      </w:r>
      <w:r>
        <w:fldChar w:fldCharType="end"/>
      </w:r>
      <w:r>
        <w:fldChar w:fldCharType="end"/>
      </w:r>
    </w:p>
    <w:p w14:paraId="121BCF27">
      <w:pPr>
        <w:pStyle w:val="26"/>
        <w:rPr>
          <w:rFonts w:asciiTheme="minorHAnsi" w:hAnsiTheme="minorHAnsi" w:eastAsiaTheme="minorEastAsia" w:cstheme="minorBidi"/>
          <w:szCs w:val="22"/>
        </w:rPr>
      </w:pPr>
      <w:r>
        <w:fldChar w:fldCharType="begin"/>
      </w:r>
      <w:r>
        <w:instrText xml:space="preserve"> HYPERLINK \l "_Toc185672263" </w:instrText>
      </w:r>
      <w:r>
        <w:fldChar w:fldCharType="separate"/>
      </w:r>
      <w:r>
        <w:rPr>
          <w:rStyle w:val="34"/>
        </w:rPr>
        <w:t xml:space="preserve">5.5 </w:t>
      </w:r>
      <w:r>
        <w:rPr>
          <w:rStyle w:val="34"/>
          <w:rFonts w:hint="eastAsia"/>
        </w:rPr>
        <w:t xml:space="preserve"> 风险控制</w:t>
      </w:r>
      <w:r>
        <w:tab/>
      </w:r>
      <w:r>
        <w:fldChar w:fldCharType="begin"/>
      </w:r>
      <w:r>
        <w:instrText xml:space="preserve"> PAGEREF _Toc185672263 \h </w:instrText>
      </w:r>
      <w:r>
        <w:fldChar w:fldCharType="separate"/>
      </w:r>
      <w:r>
        <w:t>4</w:t>
      </w:r>
      <w:r>
        <w:fldChar w:fldCharType="end"/>
      </w:r>
      <w:r>
        <w:fldChar w:fldCharType="end"/>
      </w:r>
    </w:p>
    <w:p w14:paraId="1D6014CE">
      <w:pPr>
        <w:pStyle w:val="26"/>
        <w:rPr>
          <w:rFonts w:asciiTheme="minorHAnsi" w:hAnsiTheme="minorHAnsi" w:eastAsiaTheme="minorEastAsia" w:cstheme="minorBidi"/>
          <w:szCs w:val="22"/>
        </w:rPr>
      </w:pPr>
      <w:r>
        <w:fldChar w:fldCharType="begin"/>
      </w:r>
      <w:r>
        <w:instrText xml:space="preserve"> HYPERLINK \l "_Toc185672264" </w:instrText>
      </w:r>
      <w:r>
        <w:fldChar w:fldCharType="separate"/>
      </w:r>
      <w:r>
        <w:rPr>
          <w:rStyle w:val="34"/>
        </w:rPr>
        <w:t xml:space="preserve">5.6 </w:t>
      </w:r>
      <w:r>
        <w:rPr>
          <w:rStyle w:val="34"/>
          <w:rFonts w:hint="eastAsia"/>
        </w:rPr>
        <w:t xml:space="preserve"> 分级管控</w:t>
      </w:r>
      <w:r>
        <w:tab/>
      </w:r>
      <w:r>
        <w:fldChar w:fldCharType="begin"/>
      </w:r>
      <w:r>
        <w:instrText xml:space="preserve"> PAGEREF _Toc185672264 \h </w:instrText>
      </w:r>
      <w:r>
        <w:fldChar w:fldCharType="separate"/>
      </w:r>
      <w:r>
        <w:t>5</w:t>
      </w:r>
      <w:r>
        <w:fldChar w:fldCharType="end"/>
      </w:r>
      <w:r>
        <w:fldChar w:fldCharType="end"/>
      </w:r>
    </w:p>
    <w:p w14:paraId="319B6857">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"_Toc185672265" </w:instrText>
      </w:r>
      <w:r>
        <w:fldChar w:fldCharType="separate"/>
      </w:r>
      <w:r>
        <w:rPr>
          <w:rStyle w:val="34"/>
        </w:rPr>
        <w:t xml:space="preserve">5.6.1 </w:t>
      </w:r>
      <w:r>
        <w:rPr>
          <w:rStyle w:val="34"/>
          <w:rFonts w:hint="eastAsia"/>
        </w:rPr>
        <w:t xml:space="preserve"> 风险分级</w:t>
      </w:r>
      <w:r>
        <w:tab/>
      </w:r>
      <w:r>
        <w:fldChar w:fldCharType="begin"/>
      </w:r>
      <w:r>
        <w:instrText xml:space="preserve"> PAGEREF _Toc185672265 \h </w:instrText>
      </w:r>
      <w:r>
        <w:fldChar w:fldCharType="separate"/>
      </w:r>
      <w:r>
        <w:t>5</w:t>
      </w:r>
      <w:r>
        <w:fldChar w:fldCharType="end"/>
      </w:r>
      <w:r>
        <w:fldChar w:fldCharType="end"/>
      </w:r>
    </w:p>
    <w:p w14:paraId="498C5E69">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"_Toc185672266" </w:instrText>
      </w:r>
      <w:r>
        <w:fldChar w:fldCharType="separate"/>
      </w:r>
      <w:r>
        <w:rPr>
          <w:rStyle w:val="34"/>
        </w:rPr>
        <w:t xml:space="preserve">5.6.2 </w:t>
      </w:r>
      <w:r>
        <w:rPr>
          <w:rStyle w:val="34"/>
          <w:rFonts w:hint="eastAsia"/>
        </w:rPr>
        <w:t xml:space="preserve"> 风险分级管控</w:t>
      </w:r>
      <w:r>
        <w:tab/>
      </w:r>
      <w:r>
        <w:fldChar w:fldCharType="begin"/>
      </w:r>
      <w:r>
        <w:instrText xml:space="preserve"> PAGEREF _Toc185672266 \h </w:instrText>
      </w:r>
      <w:r>
        <w:fldChar w:fldCharType="separate"/>
      </w:r>
      <w:r>
        <w:t>5</w:t>
      </w:r>
      <w:r>
        <w:fldChar w:fldCharType="end"/>
      </w:r>
      <w:r>
        <w:fldChar w:fldCharType="end"/>
      </w:r>
    </w:p>
    <w:p w14:paraId="79FC395C">
      <w:pPr>
        <w:pStyle w:val="17"/>
        <w:tabs>
          <w:tab w:val="right" w:leader="dot" w:pos="9344"/>
        </w:tabs>
        <w:rPr>
          <w:rFonts w:asciiTheme="minorHAnsi" w:hAnsiTheme="minorHAnsi" w:eastAsiaTheme="minorEastAsia" w:cstheme="minorBidi"/>
          <w:szCs w:val="22"/>
        </w:rPr>
      </w:pPr>
      <w:r>
        <w:fldChar w:fldCharType="begin"/>
      </w:r>
      <w:r>
        <w:instrText xml:space="preserve"> HYPERLINK \l "_Toc185672267" </w:instrText>
      </w:r>
      <w:r>
        <w:fldChar w:fldCharType="separate"/>
      </w:r>
      <w:r>
        <w:rPr>
          <w:rStyle w:val="34"/>
        </w:rPr>
        <w:t xml:space="preserve">5.6.3 </w:t>
      </w:r>
      <w:r>
        <w:rPr>
          <w:rStyle w:val="34"/>
          <w:rFonts w:hint="eastAsia"/>
        </w:rPr>
        <w:t xml:space="preserve"> 风险告知</w:t>
      </w:r>
      <w:r>
        <w:tab/>
      </w:r>
      <w:r>
        <w:fldChar w:fldCharType="begin"/>
      </w:r>
      <w:r>
        <w:instrText xml:space="preserve"> PAGEREF _Toc185672267 \h </w:instrText>
      </w:r>
      <w:r>
        <w:fldChar w:fldCharType="separate"/>
      </w:r>
      <w:r>
        <w:t>6</w:t>
      </w:r>
      <w:r>
        <w:fldChar w:fldCharType="end"/>
      </w:r>
      <w:r>
        <w:fldChar w:fldCharType="end"/>
      </w:r>
    </w:p>
    <w:p w14:paraId="2D89B3CD">
      <w:pPr>
        <w:pStyle w:val="26"/>
        <w:rPr>
          <w:rFonts w:asciiTheme="minorHAnsi" w:hAnsiTheme="minorHAnsi" w:eastAsiaTheme="minorEastAsia" w:cstheme="minorBidi"/>
          <w:szCs w:val="22"/>
        </w:rPr>
      </w:pPr>
      <w:r>
        <w:fldChar w:fldCharType="begin"/>
      </w:r>
      <w:r>
        <w:instrText xml:space="preserve"> HYPERLINK \l "_Toc185672268" </w:instrText>
      </w:r>
      <w:r>
        <w:fldChar w:fldCharType="separate"/>
      </w:r>
      <w:r>
        <w:rPr>
          <w:rStyle w:val="34"/>
        </w:rPr>
        <w:t xml:space="preserve">5.7 </w:t>
      </w:r>
      <w:r>
        <w:rPr>
          <w:rStyle w:val="34"/>
          <w:rFonts w:hint="eastAsia"/>
        </w:rPr>
        <w:t xml:space="preserve"> 定期评审</w:t>
      </w:r>
      <w:r>
        <w:tab/>
      </w:r>
      <w:r>
        <w:fldChar w:fldCharType="begin"/>
      </w:r>
      <w:r>
        <w:instrText xml:space="preserve"> PAGEREF _Toc185672268 \h </w:instrText>
      </w:r>
      <w:r>
        <w:fldChar w:fldCharType="separate"/>
      </w:r>
      <w:r>
        <w:t>6</w:t>
      </w:r>
      <w:r>
        <w:fldChar w:fldCharType="end"/>
      </w:r>
      <w:r>
        <w:fldChar w:fldCharType="end"/>
      </w:r>
    </w:p>
    <w:p w14:paraId="0ABC9EE6">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"_Toc185672269" </w:instrText>
      </w:r>
      <w:r>
        <w:fldChar w:fldCharType="separate"/>
      </w:r>
      <w:r>
        <w:rPr>
          <w:rStyle w:val="34"/>
        </w:rPr>
        <w:t xml:space="preserve">6 </w:t>
      </w:r>
      <w:r>
        <w:rPr>
          <w:rStyle w:val="34"/>
          <w:rFonts w:hint="eastAsia"/>
        </w:rPr>
        <w:t xml:space="preserve"> 隐患排查治理</w:t>
      </w:r>
      <w:r>
        <w:tab/>
      </w:r>
      <w:r>
        <w:fldChar w:fldCharType="begin"/>
      </w:r>
      <w:r>
        <w:instrText xml:space="preserve"> PAGEREF _Toc185672269 \h </w:instrText>
      </w:r>
      <w:r>
        <w:fldChar w:fldCharType="separate"/>
      </w:r>
      <w:r>
        <w:t>6</w:t>
      </w:r>
      <w:r>
        <w:fldChar w:fldCharType="end"/>
      </w:r>
      <w:r>
        <w:fldChar w:fldCharType="end"/>
      </w:r>
    </w:p>
    <w:p w14:paraId="45A2F18E">
      <w:pPr>
        <w:pStyle w:val="26"/>
        <w:rPr>
          <w:rFonts w:asciiTheme="minorHAnsi" w:hAnsiTheme="minorHAnsi" w:eastAsiaTheme="minorEastAsia" w:cstheme="minorBidi"/>
          <w:szCs w:val="22"/>
        </w:rPr>
      </w:pPr>
      <w:r>
        <w:fldChar w:fldCharType="begin"/>
      </w:r>
      <w:r>
        <w:instrText xml:space="preserve"> HYPERLINK \l "_Toc185672270" </w:instrText>
      </w:r>
      <w:r>
        <w:fldChar w:fldCharType="separate"/>
      </w:r>
      <w:r>
        <w:rPr>
          <w:rStyle w:val="34"/>
        </w:rPr>
        <w:t xml:space="preserve">6.1 </w:t>
      </w:r>
      <w:r>
        <w:rPr>
          <w:rStyle w:val="34"/>
          <w:rFonts w:hint="eastAsia"/>
        </w:rPr>
        <w:t xml:space="preserve"> 隐患排查治理流程</w:t>
      </w:r>
      <w:r>
        <w:tab/>
      </w:r>
      <w:r>
        <w:fldChar w:fldCharType="begin"/>
      </w:r>
      <w:r>
        <w:instrText xml:space="preserve"> PAGEREF _Toc185672270 \h </w:instrText>
      </w:r>
      <w:r>
        <w:fldChar w:fldCharType="separate"/>
      </w:r>
      <w:r>
        <w:t>6</w:t>
      </w:r>
      <w:r>
        <w:fldChar w:fldCharType="end"/>
      </w:r>
      <w:r>
        <w:fldChar w:fldCharType="end"/>
      </w:r>
    </w:p>
    <w:p w14:paraId="6DBA0FA8">
      <w:pPr>
        <w:pStyle w:val="26"/>
        <w:rPr>
          <w:rFonts w:asciiTheme="minorHAnsi" w:hAnsiTheme="minorHAnsi" w:eastAsiaTheme="minorEastAsia" w:cstheme="minorBidi"/>
          <w:szCs w:val="22"/>
        </w:rPr>
      </w:pPr>
      <w:r>
        <w:fldChar w:fldCharType="begin"/>
      </w:r>
      <w:r>
        <w:instrText xml:space="preserve"> HYPERLINK \l "_Toc185672271" </w:instrText>
      </w:r>
      <w:r>
        <w:fldChar w:fldCharType="separate"/>
      </w:r>
      <w:r>
        <w:rPr>
          <w:rStyle w:val="34"/>
        </w:rPr>
        <w:t xml:space="preserve">6.2 </w:t>
      </w:r>
      <w:r>
        <w:rPr>
          <w:rStyle w:val="34"/>
          <w:rFonts w:hint="eastAsia"/>
        </w:rPr>
        <w:t xml:space="preserve"> 隐患分类</w:t>
      </w:r>
      <w:r>
        <w:tab/>
      </w:r>
      <w:r>
        <w:fldChar w:fldCharType="begin"/>
      </w:r>
      <w:r>
        <w:instrText xml:space="preserve"> PAGEREF _Toc185672271 \h </w:instrText>
      </w:r>
      <w:r>
        <w:fldChar w:fldCharType="separate"/>
      </w:r>
      <w:r>
        <w:t>7</w:t>
      </w:r>
      <w:r>
        <w:fldChar w:fldCharType="end"/>
      </w:r>
      <w:r>
        <w:fldChar w:fldCharType="end"/>
      </w:r>
    </w:p>
    <w:p w14:paraId="4E3A8FF9">
      <w:pPr>
        <w:pStyle w:val="26"/>
        <w:rPr>
          <w:rFonts w:asciiTheme="minorHAnsi" w:hAnsiTheme="minorHAnsi" w:eastAsiaTheme="minorEastAsia" w:cstheme="minorBidi"/>
          <w:szCs w:val="22"/>
        </w:rPr>
      </w:pPr>
      <w:r>
        <w:fldChar w:fldCharType="begin"/>
      </w:r>
      <w:r>
        <w:instrText xml:space="preserve"> HYPERLINK \l "_Toc185672272" </w:instrText>
      </w:r>
      <w:r>
        <w:fldChar w:fldCharType="separate"/>
      </w:r>
      <w:r>
        <w:rPr>
          <w:rStyle w:val="34"/>
        </w:rPr>
        <w:t xml:space="preserve">6.3 </w:t>
      </w:r>
      <w:r>
        <w:rPr>
          <w:rStyle w:val="34"/>
          <w:rFonts w:hint="eastAsia"/>
        </w:rPr>
        <w:t xml:space="preserve"> 制定隐患排查计划</w:t>
      </w:r>
      <w:r>
        <w:tab/>
      </w:r>
      <w:r>
        <w:fldChar w:fldCharType="begin"/>
      </w:r>
      <w:r>
        <w:instrText xml:space="preserve"> PAGEREF _Toc185672272 \h </w:instrText>
      </w:r>
      <w:r>
        <w:fldChar w:fldCharType="separate"/>
      </w:r>
      <w:r>
        <w:t>7</w:t>
      </w:r>
      <w:r>
        <w:fldChar w:fldCharType="end"/>
      </w:r>
      <w:r>
        <w:fldChar w:fldCharType="end"/>
      </w:r>
    </w:p>
    <w:p w14:paraId="3FA210D8">
      <w:pPr>
        <w:pStyle w:val="26"/>
        <w:rPr>
          <w:rFonts w:asciiTheme="minorHAnsi" w:hAnsiTheme="minorHAnsi" w:eastAsiaTheme="minorEastAsia" w:cstheme="minorBidi"/>
          <w:szCs w:val="22"/>
        </w:rPr>
      </w:pPr>
      <w:r>
        <w:fldChar w:fldCharType="begin"/>
      </w:r>
      <w:r>
        <w:instrText xml:space="preserve"> HYPERLINK \l "_Toc185672273" </w:instrText>
      </w:r>
      <w:r>
        <w:fldChar w:fldCharType="separate"/>
      </w:r>
      <w:r>
        <w:rPr>
          <w:rStyle w:val="34"/>
        </w:rPr>
        <w:t xml:space="preserve">6.4 </w:t>
      </w:r>
      <w:r>
        <w:rPr>
          <w:rStyle w:val="34"/>
          <w:rFonts w:hint="eastAsia"/>
        </w:rPr>
        <w:t xml:space="preserve"> 隐患排查</w:t>
      </w:r>
      <w:r>
        <w:tab/>
      </w:r>
      <w:r>
        <w:fldChar w:fldCharType="begin"/>
      </w:r>
      <w:r>
        <w:instrText xml:space="preserve"> PAGEREF _Toc185672273 \h </w:instrText>
      </w:r>
      <w:r>
        <w:fldChar w:fldCharType="separate"/>
      </w:r>
      <w:r>
        <w:t>7</w:t>
      </w:r>
      <w:r>
        <w:fldChar w:fldCharType="end"/>
      </w:r>
      <w:r>
        <w:fldChar w:fldCharType="end"/>
      </w:r>
    </w:p>
    <w:p w14:paraId="33CDF04C">
      <w:pPr>
        <w:pStyle w:val="26"/>
        <w:rPr>
          <w:rFonts w:asciiTheme="minorHAnsi" w:hAnsiTheme="minorHAnsi" w:eastAsiaTheme="minorEastAsia" w:cstheme="minorBidi"/>
          <w:szCs w:val="22"/>
        </w:rPr>
      </w:pPr>
      <w:r>
        <w:fldChar w:fldCharType="begin"/>
      </w:r>
      <w:r>
        <w:instrText xml:space="preserve"> HYPERLINK \l "_Toc185672274" </w:instrText>
      </w:r>
      <w:r>
        <w:fldChar w:fldCharType="separate"/>
      </w:r>
      <w:r>
        <w:rPr>
          <w:rStyle w:val="34"/>
        </w:rPr>
        <w:t xml:space="preserve">6.5 </w:t>
      </w:r>
      <w:r>
        <w:rPr>
          <w:rStyle w:val="34"/>
          <w:rFonts w:hint="eastAsia"/>
        </w:rPr>
        <w:t xml:space="preserve"> 隐患治理</w:t>
      </w:r>
      <w:r>
        <w:tab/>
      </w:r>
      <w:r>
        <w:fldChar w:fldCharType="begin"/>
      </w:r>
      <w:r>
        <w:instrText xml:space="preserve"> PAGEREF _Toc185672274 \h </w:instrText>
      </w:r>
      <w:r>
        <w:fldChar w:fldCharType="separate"/>
      </w:r>
      <w:r>
        <w:t>8</w:t>
      </w:r>
      <w:r>
        <w:fldChar w:fldCharType="end"/>
      </w:r>
      <w:r>
        <w:fldChar w:fldCharType="end"/>
      </w:r>
    </w:p>
    <w:p w14:paraId="2638CDD9">
      <w:pPr>
        <w:pStyle w:val="26"/>
        <w:rPr>
          <w:rFonts w:asciiTheme="minorHAnsi" w:hAnsiTheme="minorHAnsi" w:eastAsiaTheme="minorEastAsia" w:cstheme="minorBidi"/>
          <w:szCs w:val="22"/>
        </w:rPr>
      </w:pPr>
      <w:r>
        <w:fldChar w:fldCharType="begin"/>
      </w:r>
      <w:r>
        <w:instrText xml:space="preserve"> HYPERLINK \l "_Toc185672275" </w:instrText>
      </w:r>
      <w:r>
        <w:fldChar w:fldCharType="separate"/>
      </w:r>
      <w:r>
        <w:rPr>
          <w:rStyle w:val="34"/>
        </w:rPr>
        <w:t xml:space="preserve">6.6 </w:t>
      </w:r>
      <w:r>
        <w:rPr>
          <w:rStyle w:val="34"/>
          <w:rFonts w:hint="eastAsia"/>
        </w:rPr>
        <w:t xml:space="preserve"> 隐患治理验收</w:t>
      </w:r>
      <w:r>
        <w:tab/>
      </w:r>
      <w:r>
        <w:fldChar w:fldCharType="begin"/>
      </w:r>
      <w:r>
        <w:instrText xml:space="preserve"> PAGEREF _Toc185672275 \h </w:instrText>
      </w:r>
      <w:r>
        <w:fldChar w:fldCharType="separate"/>
      </w:r>
      <w:r>
        <w:t>8</w:t>
      </w:r>
      <w:r>
        <w:fldChar w:fldCharType="end"/>
      </w:r>
      <w:r>
        <w:fldChar w:fldCharType="end"/>
      </w:r>
    </w:p>
    <w:p w14:paraId="121A4A1C">
      <w:pPr>
        <w:pStyle w:val="26"/>
        <w:rPr>
          <w:rFonts w:asciiTheme="minorHAnsi" w:hAnsiTheme="minorHAnsi" w:eastAsiaTheme="minorEastAsia" w:cstheme="minorBidi"/>
          <w:szCs w:val="22"/>
        </w:rPr>
      </w:pPr>
      <w:r>
        <w:fldChar w:fldCharType="begin"/>
      </w:r>
      <w:r>
        <w:instrText xml:space="preserve"> HYPERLINK \l "_Toc185672276" </w:instrText>
      </w:r>
      <w:r>
        <w:fldChar w:fldCharType="separate"/>
      </w:r>
      <w:r>
        <w:rPr>
          <w:rStyle w:val="34"/>
        </w:rPr>
        <w:t xml:space="preserve">6.7 </w:t>
      </w:r>
      <w:r>
        <w:rPr>
          <w:rStyle w:val="34"/>
          <w:rFonts w:hint="eastAsia"/>
        </w:rPr>
        <w:t xml:space="preserve"> 隐患分析</w:t>
      </w:r>
      <w:r>
        <w:tab/>
      </w:r>
      <w:r>
        <w:fldChar w:fldCharType="begin"/>
      </w:r>
      <w:r>
        <w:instrText xml:space="preserve"> PAGEREF _Toc185672276 \h </w:instrText>
      </w:r>
      <w:r>
        <w:fldChar w:fldCharType="separate"/>
      </w:r>
      <w:r>
        <w:t>8</w:t>
      </w:r>
      <w:r>
        <w:fldChar w:fldCharType="end"/>
      </w:r>
      <w:r>
        <w:fldChar w:fldCharType="end"/>
      </w:r>
    </w:p>
    <w:p w14:paraId="69CFB945">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"_Toc185672277" </w:instrText>
      </w:r>
      <w:r>
        <w:fldChar w:fldCharType="separate"/>
      </w:r>
      <w:r>
        <w:rPr>
          <w:rStyle w:val="34"/>
        </w:rPr>
        <w:t xml:space="preserve">7 </w:t>
      </w:r>
      <w:r>
        <w:rPr>
          <w:rStyle w:val="34"/>
          <w:rFonts w:hint="eastAsia"/>
        </w:rPr>
        <w:t xml:space="preserve"> 文件管理</w:t>
      </w:r>
      <w:r>
        <w:tab/>
      </w:r>
      <w:r>
        <w:fldChar w:fldCharType="begin"/>
      </w:r>
      <w:r>
        <w:instrText xml:space="preserve"> PAGEREF _Toc185672277 \h </w:instrText>
      </w:r>
      <w:r>
        <w:fldChar w:fldCharType="separate"/>
      </w:r>
      <w:r>
        <w:t>9</w:t>
      </w:r>
      <w:r>
        <w:fldChar w:fldCharType="end"/>
      </w:r>
      <w:r>
        <w:fldChar w:fldCharType="end"/>
      </w:r>
    </w:p>
    <w:p w14:paraId="265403FE">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"_Toc185672278" </w:instrText>
      </w:r>
      <w:r>
        <w:fldChar w:fldCharType="separate"/>
      </w:r>
      <w:r>
        <w:rPr>
          <w:rStyle w:val="34"/>
        </w:rPr>
        <w:t xml:space="preserve">8 </w:t>
      </w:r>
      <w:r>
        <w:rPr>
          <w:rStyle w:val="34"/>
          <w:rFonts w:hint="eastAsia"/>
        </w:rPr>
        <w:t xml:space="preserve"> 信息化</w:t>
      </w:r>
      <w:r>
        <w:tab/>
      </w:r>
      <w:r>
        <w:fldChar w:fldCharType="begin"/>
      </w:r>
      <w:r>
        <w:instrText xml:space="preserve"> PAGEREF _Toc185672278 \h </w:instrText>
      </w:r>
      <w:r>
        <w:fldChar w:fldCharType="separate"/>
      </w:r>
      <w:r>
        <w:t>9</w:t>
      </w:r>
      <w:r>
        <w:fldChar w:fldCharType="end"/>
      </w:r>
      <w:r>
        <w:fldChar w:fldCharType="end"/>
      </w:r>
    </w:p>
    <w:p w14:paraId="7A456ACF">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"_Toc185672279" </w:instrText>
      </w:r>
      <w:r>
        <w:fldChar w:fldCharType="separate"/>
      </w:r>
      <w:r>
        <w:rPr>
          <w:rStyle w:val="34"/>
        </w:rPr>
        <w:t xml:space="preserve">9 </w:t>
      </w:r>
      <w:r>
        <w:rPr>
          <w:rStyle w:val="34"/>
          <w:rFonts w:hint="eastAsia"/>
        </w:rPr>
        <w:t xml:space="preserve"> 持续改进</w:t>
      </w:r>
      <w:r>
        <w:tab/>
      </w:r>
      <w:r>
        <w:fldChar w:fldCharType="begin"/>
      </w:r>
      <w:r>
        <w:instrText xml:space="preserve"> PAGEREF _Toc185672279 \h </w:instrText>
      </w:r>
      <w:r>
        <w:fldChar w:fldCharType="separate"/>
      </w:r>
      <w:r>
        <w:t>9</w:t>
      </w:r>
      <w:r>
        <w:fldChar w:fldCharType="end"/>
      </w:r>
      <w:r>
        <w:fldChar w:fldCharType="end"/>
      </w:r>
    </w:p>
    <w:p w14:paraId="35628374">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"_Toc185672280" </w:instrText>
      </w:r>
      <w:r>
        <w:fldChar w:fldCharType="separate"/>
      </w:r>
      <w:r>
        <w:rPr>
          <w:rStyle w:val="34"/>
          <w:rFonts w:hint="eastAsia"/>
        </w:rPr>
        <w:t>附录A（资料性）</w:t>
      </w:r>
      <w:r>
        <w:rPr>
          <w:rStyle w:val="34"/>
        </w:rPr>
        <w:t xml:space="preserve">  </w:t>
      </w:r>
      <w:r>
        <w:rPr>
          <w:rStyle w:val="34"/>
          <w:rFonts w:hint="eastAsia"/>
        </w:rPr>
        <w:t>安全分析评价记录表</w:t>
      </w:r>
      <w:r>
        <w:tab/>
      </w:r>
      <w:r>
        <w:fldChar w:fldCharType="begin"/>
      </w:r>
      <w:r>
        <w:instrText xml:space="preserve"> PAGEREF _Toc185672280 \h </w:instrText>
      </w:r>
      <w:r>
        <w:fldChar w:fldCharType="separate"/>
      </w:r>
      <w:r>
        <w:t>10</w:t>
      </w:r>
      <w:r>
        <w:fldChar w:fldCharType="end"/>
      </w:r>
      <w:r>
        <w:fldChar w:fldCharType="end"/>
      </w:r>
    </w:p>
    <w:p w14:paraId="3786B498">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"_Toc185672281" </w:instrText>
      </w:r>
      <w:r>
        <w:fldChar w:fldCharType="separate"/>
      </w:r>
      <w:r>
        <w:rPr>
          <w:rStyle w:val="34"/>
          <w:rFonts w:hint="eastAsia"/>
        </w:rPr>
        <w:t>附录B（资料性）</w:t>
      </w:r>
      <w:r>
        <w:rPr>
          <w:rStyle w:val="34"/>
        </w:rPr>
        <w:t xml:space="preserve">  </w:t>
      </w:r>
      <w:r>
        <w:rPr>
          <w:rStyle w:val="34"/>
          <w:rFonts w:hint="eastAsia"/>
        </w:rPr>
        <w:t>风险分级管控清单</w:t>
      </w:r>
      <w:r>
        <w:tab/>
      </w:r>
      <w:r>
        <w:fldChar w:fldCharType="begin"/>
      </w:r>
      <w:r>
        <w:instrText xml:space="preserve"> PAGEREF _Toc185672281 \h </w:instrText>
      </w:r>
      <w:r>
        <w:fldChar w:fldCharType="separate"/>
      </w:r>
      <w:r>
        <w:t>37</w:t>
      </w:r>
      <w:r>
        <w:fldChar w:fldCharType="end"/>
      </w:r>
      <w:r>
        <w:fldChar w:fldCharType="end"/>
      </w:r>
    </w:p>
    <w:p w14:paraId="0641AB26">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"_Toc185672282" </w:instrText>
      </w:r>
      <w:r>
        <w:fldChar w:fldCharType="separate"/>
      </w:r>
      <w:r>
        <w:rPr>
          <w:rStyle w:val="34"/>
          <w:rFonts w:hint="eastAsia"/>
        </w:rPr>
        <w:t>附录C（资料性）</w:t>
      </w:r>
      <w:r>
        <w:rPr>
          <w:rStyle w:val="34"/>
        </w:rPr>
        <w:t xml:space="preserve">  </w:t>
      </w:r>
      <w:r>
        <w:rPr>
          <w:rStyle w:val="34"/>
          <w:rFonts w:hint="eastAsia"/>
        </w:rPr>
        <w:t>重大风险告知栏</w:t>
      </w:r>
      <w:r>
        <w:tab/>
      </w:r>
      <w:r>
        <w:fldChar w:fldCharType="begin"/>
      </w:r>
      <w:r>
        <w:instrText xml:space="preserve"> PAGEREF _Toc185672282 \h </w:instrText>
      </w:r>
      <w:r>
        <w:fldChar w:fldCharType="separate"/>
      </w:r>
      <w:r>
        <w:t>38</w:t>
      </w:r>
      <w:r>
        <w:fldChar w:fldCharType="end"/>
      </w:r>
      <w:r>
        <w:fldChar w:fldCharType="end"/>
      </w:r>
    </w:p>
    <w:p w14:paraId="492ADAC7">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"_Toc185672283" </w:instrText>
      </w:r>
      <w:r>
        <w:fldChar w:fldCharType="separate"/>
      </w:r>
      <w:r>
        <w:rPr>
          <w:rStyle w:val="34"/>
          <w:rFonts w:hint="eastAsia"/>
        </w:rPr>
        <w:t>附录D（资料性）</w:t>
      </w:r>
      <w:r>
        <w:rPr>
          <w:rStyle w:val="34"/>
        </w:rPr>
        <w:t xml:space="preserve">  </w:t>
      </w:r>
      <w:r>
        <w:rPr>
          <w:rStyle w:val="34"/>
          <w:rFonts w:hint="eastAsia"/>
        </w:rPr>
        <w:t>隐患排查记录</w:t>
      </w:r>
      <w:r>
        <w:tab/>
      </w:r>
      <w:r>
        <w:fldChar w:fldCharType="begin"/>
      </w:r>
      <w:r>
        <w:instrText xml:space="preserve"> PAGEREF _Toc185672283 \h </w:instrText>
      </w:r>
      <w:r>
        <w:fldChar w:fldCharType="separate"/>
      </w:r>
      <w:r>
        <w:t>39</w:t>
      </w:r>
      <w:r>
        <w:fldChar w:fldCharType="end"/>
      </w:r>
      <w:r>
        <w:fldChar w:fldCharType="end"/>
      </w:r>
    </w:p>
    <w:p w14:paraId="03456B21">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"_Toc185672284" </w:instrText>
      </w:r>
      <w:r>
        <w:fldChar w:fldCharType="separate"/>
      </w:r>
      <w:r>
        <w:rPr>
          <w:rStyle w:val="34"/>
          <w:rFonts w:hint="eastAsia"/>
        </w:rPr>
        <w:t>附录E（资料性）</w:t>
      </w:r>
      <w:r>
        <w:rPr>
          <w:rStyle w:val="34"/>
        </w:rPr>
        <w:t xml:space="preserve">  </w:t>
      </w:r>
      <w:r>
        <w:rPr>
          <w:rStyle w:val="34"/>
          <w:rFonts w:hint="eastAsia"/>
        </w:rPr>
        <w:t>隐患排查治理台账</w:t>
      </w:r>
      <w:r>
        <w:tab/>
      </w:r>
      <w:r>
        <w:fldChar w:fldCharType="begin"/>
      </w:r>
      <w:r>
        <w:instrText xml:space="preserve"> PAGEREF _Toc185672284 \h </w:instrText>
      </w:r>
      <w:r>
        <w:fldChar w:fldCharType="separate"/>
      </w:r>
      <w:r>
        <w:t>40</w:t>
      </w:r>
      <w:r>
        <w:fldChar w:fldCharType="end"/>
      </w:r>
      <w:r>
        <w:fldChar w:fldCharType="end"/>
      </w:r>
    </w:p>
    <w:p w14:paraId="05BB6532">
      <w:pPr>
        <w:pStyle w:val="21"/>
        <w:tabs>
          <w:tab w:val="right" w:leader="dot" w:pos="9344"/>
        </w:tabs>
        <w:rPr>
          <w:rFonts w:asciiTheme="minorHAnsi" w:hAnsiTheme="minorHAnsi" w:eastAsiaTheme="minorEastAsia" w:cstheme="minorBidi"/>
          <w:szCs w:val="22"/>
        </w:rPr>
      </w:pPr>
      <w:r>
        <w:fldChar w:fldCharType="begin"/>
      </w:r>
      <w:r>
        <w:instrText xml:space="preserve"> HYPERLINK \l "_Toc185672285" </w:instrText>
      </w:r>
      <w:r>
        <w:fldChar w:fldCharType="separate"/>
      </w:r>
      <w:r>
        <w:rPr>
          <w:rStyle w:val="34"/>
          <w:rFonts w:hint="eastAsia"/>
        </w:rPr>
        <w:t>参考文献</w:t>
      </w:r>
      <w:r>
        <w:tab/>
      </w:r>
      <w:r>
        <w:fldChar w:fldCharType="begin"/>
      </w:r>
      <w:r>
        <w:instrText xml:space="preserve"> PAGEREF _Toc185672285 \h </w:instrText>
      </w:r>
      <w:r>
        <w:fldChar w:fldCharType="separate"/>
      </w:r>
      <w:r>
        <w:t>41</w:t>
      </w:r>
      <w:r>
        <w:fldChar w:fldCharType="end"/>
      </w:r>
      <w:r>
        <w:fldChar w:fldCharType="end"/>
      </w:r>
    </w:p>
    <w:p w14:paraId="2BC031A4">
      <w:pPr>
        <w:pStyle w:val="93"/>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3E12E607">
      <w:pPr>
        <w:pStyle w:val="91"/>
        <w:spacing w:after="468"/>
        <w:rPr>
          <w:color w:val="000000" w:themeColor="text1"/>
        </w:rPr>
      </w:pPr>
      <w:bookmarkStart w:id="23" w:name="_Toc185672245"/>
      <w:bookmarkStart w:id="24" w:name="BookMark2"/>
      <w:r>
        <w:rPr>
          <w:color w:val="000000" w:themeColor="text1"/>
          <w:spacing w:val="320"/>
        </w:rPr>
        <w:t>前</w:t>
      </w:r>
      <w:r>
        <w:rPr>
          <w:color w:val="000000" w:themeColor="text1"/>
        </w:rPr>
        <w:t>言</w:t>
      </w:r>
      <w:bookmarkEnd w:id="21"/>
      <w:bookmarkEnd w:id="22"/>
      <w:bookmarkEnd w:id="23"/>
    </w:p>
    <w:p w14:paraId="5BFA042C">
      <w:pPr>
        <w:pStyle w:val="58"/>
        <w:ind w:firstLine="420"/>
        <w:rPr>
          <w:color w:val="000000" w:themeColor="text1"/>
        </w:rPr>
      </w:pPr>
      <w:r>
        <w:rPr>
          <w:rFonts w:hint="eastAsia"/>
          <w:color w:val="000000" w:themeColor="text1"/>
        </w:rPr>
        <w:t>本文件按照GB/T 1.1—2020《标准化工作导则  第1部分：标准化文件的结构和起草规则》的规定起草。</w:t>
      </w:r>
    </w:p>
    <w:p w14:paraId="48F31831">
      <w:pPr>
        <w:pStyle w:val="58"/>
        <w:ind w:firstLine="420"/>
        <w:rPr>
          <w:color w:val="000000" w:themeColor="text1"/>
        </w:rPr>
      </w:pPr>
      <w:r>
        <w:rPr>
          <w:rFonts w:hint="eastAsia"/>
          <w:color w:val="000000" w:themeColor="text1"/>
        </w:rPr>
        <w:t>本文件由</w:t>
      </w:r>
      <w:r>
        <w:rPr>
          <w:rFonts w:hint="eastAsia"/>
          <w:color w:val="000000" w:themeColor="text1"/>
          <w:lang w:val="en-US" w:eastAsia="zh-CN"/>
        </w:rPr>
        <w:t>安徽省特种设备检测院</w:t>
      </w:r>
      <w:r>
        <w:rPr>
          <w:rFonts w:hint="eastAsia"/>
          <w:color w:val="000000" w:themeColor="text1"/>
        </w:rPr>
        <w:t>提出。</w:t>
      </w:r>
    </w:p>
    <w:p w14:paraId="06E41D39">
      <w:pPr>
        <w:pStyle w:val="58"/>
        <w:ind w:firstLine="420"/>
        <w:rPr>
          <w:color w:val="000000" w:themeColor="text1"/>
        </w:rPr>
      </w:pPr>
      <w:r>
        <w:rPr>
          <w:rFonts w:hint="eastAsia"/>
          <w:color w:val="000000" w:themeColor="text1"/>
        </w:rPr>
        <w:t>本文件由安徽省市场监督管理局归口。</w:t>
      </w:r>
    </w:p>
    <w:p w14:paraId="1E0F22ED">
      <w:pPr>
        <w:pStyle w:val="58"/>
        <w:ind w:firstLine="420"/>
        <w:rPr>
          <w:rFonts w:hint="default" w:eastAsia="宋体"/>
          <w:color w:val="000000" w:themeColor="text1"/>
          <w:lang w:val="en-US" w:eastAsia="zh-CN"/>
        </w:rPr>
      </w:pPr>
      <w:r>
        <w:rPr>
          <w:rFonts w:hint="eastAsia"/>
          <w:color w:val="000000" w:themeColor="text1"/>
        </w:rPr>
        <w:t>本文件起草单位：</w:t>
      </w:r>
      <w:r>
        <w:rPr>
          <w:rFonts w:hint="eastAsia"/>
          <w:color w:val="000000" w:themeColor="text1"/>
          <w:lang w:val="en-US" w:eastAsia="zh-CN"/>
        </w:rPr>
        <w:t>安徽省特种设备检测院</w:t>
      </w:r>
    </w:p>
    <w:p w14:paraId="277B2AAA">
      <w:pPr>
        <w:pStyle w:val="58"/>
        <w:ind w:firstLine="420"/>
        <w:rPr>
          <w:color w:val="000000" w:themeColor="text1"/>
        </w:rPr>
      </w:pPr>
      <w:r>
        <w:rPr>
          <w:rFonts w:hint="eastAsia"/>
          <w:color w:val="000000" w:themeColor="text1"/>
        </w:rPr>
        <w:t>本文件主要起草人：</w:t>
      </w:r>
    </w:p>
    <w:p w14:paraId="7A0CB02D">
      <w:pPr>
        <w:pStyle w:val="58"/>
        <w:ind w:firstLine="420"/>
        <w:rPr>
          <w:color w:val="000000" w:themeColor="text1"/>
        </w:rPr>
      </w:pPr>
    </w:p>
    <w:p w14:paraId="6A0B5566">
      <w:pPr>
        <w:pStyle w:val="58"/>
        <w:ind w:firstLine="420"/>
        <w:rPr>
          <w:color w:val="000000" w:themeColor="text1"/>
        </w:rPr>
        <w:sectPr>
          <w:pgSz w:w="11906" w:h="16838"/>
          <w:pgMar w:top="1928" w:right="1134" w:bottom="1134" w:left="1134" w:header="1418" w:footer="1134" w:gutter="284"/>
          <w:pgNumType w:fmt="upperRoman"/>
          <w:cols w:space="425" w:num="1"/>
          <w:formProt w:val="0"/>
          <w:docGrid w:type="lines" w:linePitch="312" w:charSpace="0"/>
        </w:sectPr>
      </w:pPr>
    </w:p>
    <w:bookmarkEnd w:id="24"/>
    <w:p w14:paraId="52E917B5">
      <w:pPr>
        <w:spacing w:line="20" w:lineRule="exact"/>
        <w:jc w:val="center"/>
        <w:rPr>
          <w:rFonts w:ascii="黑体" w:hAnsi="黑体" w:eastAsia="黑体"/>
          <w:color w:val="000000" w:themeColor="text1"/>
          <w:sz w:val="32"/>
          <w:szCs w:val="32"/>
        </w:rPr>
      </w:pPr>
      <w:bookmarkStart w:id="25" w:name="BookMark4"/>
    </w:p>
    <w:p w14:paraId="41290DF5">
      <w:pPr>
        <w:spacing w:line="20" w:lineRule="exact"/>
        <w:jc w:val="center"/>
        <w:rPr>
          <w:rFonts w:ascii="黑体" w:hAnsi="黑体" w:eastAsia="黑体"/>
          <w:color w:val="000000" w:themeColor="text1"/>
          <w:sz w:val="32"/>
          <w:szCs w:val="32"/>
        </w:rPr>
      </w:pPr>
    </w:p>
    <w:sdt>
      <w:sdtPr>
        <w:rPr>
          <w:color w:val="000000" w:themeColor="text1"/>
        </w:rPr>
        <w:tag w:val="NEW_STAND_NAME"/>
        <w:id w:val="595910757"/>
        <w:lock w:val="sdtLocked"/>
        <w:placeholder>
          <w:docPart w:val="C80936A783AE4131913654C0DC0E8AE6"/>
        </w:placeholder>
      </w:sdtPr>
      <w:sdtEndPr>
        <w:rPr>
          <w:color w:val="000000" w:themeColor="text1"/>
        </w:rPr>
      </w:sdtEndPr>
      <w:sdtContent>
        <w:p w14:paraId="3917C292">
          <w:pPr>
            <w:pStyle w:val="179"/>
            <w:spacing w:beforeLines="1" w:afterLines="220"/>
            <w:rPr>
              <w:color w:val="000000" w:themeColor="text1"/>
            </w:rPr>
          </w:pPr>
          <w:bookmarkStart w:id="26" w:name="NEW_STAND_NAME"/>
          <w:r>
            <w:rPr>
              <w:rFonts w:hint="eastAsia"/>
              <w:color w:val="000000" w:themeColor="text1"/>
              <w:lang w:val="en-US" w:eastAsia="zh-CN"/>
            </w:rPr>
            <w:t>塔式起重机安全</w:t>
          </w:r>
          <w:r>
            <w:rPr>
              <w:rFonts w:hint="eastAsia"/>
              <w:color w:val="000000" w:themeColor="text1"/>
            </w:rPr>
            <w:t>风险</w:t>
          </w:r>
          <w:r>
            <w:rPr>
              <w:rFonts w:hint="eastAsia"/>
              <w:color w:val="000000" w:themeColor="text1"/>
              <w:lang w:val="en-US" w:eastAsia="zh-CN"/>
            </w:rPr>
            <w:t>分级</w:t>
          </w:r>
          <w:r>
            <w:rPr>
              <w:rFonts w:hint="eastAsia"/>
              <w:color w:val="000000" w:themeColor="text1"/>
            </w:rPr>
            <w:t>管控和隐患排查治理导则</w:t>
          </w:r>
        </w:p>
      </w:sdtContent>
    </w:sdt>
    <w:bookmarkEnd w:id="26"/>
    <w:p w14:paraId="7052FA52">
      <w:pPr>
        <w:pStyle w:val="106"/>
        <w:spacing w:before="312" w:after="312"/>
        <w:rPr>
          <w:color w:val="000000" w:themeColor="text1"/>
        </w:rPr>
      </w:pPr>
      <w:bookmarkStart w:id="27" w:name="_Toc26986771"/>
      <w:bookmarkStart w:id="28" w:name="_Toc26986530"/>
      <w:bookmarkStart w:id="29" w:name="_Toc26718930"/>
      <w:bookmarkStart w:id="30" w:name="_Toc185426262"/>
      <w:bookmarkStart w:id="31" w:name="_Toc97191423"/>
      <w:bookmarkStart w:id="32" w:name="_Toc24884218"/>
      <w:bookmarkStart w:id="33" w:name="_Toc185672246"/>
      <w:bookmarkStart w:id="34" w:name="_Toc24884211"/>
      <w:bookmarkStart w:id="35" w:name="_Toc26648465"/>
      <w:bookmarkStart w:id="36" w:name="_Toc182082965"/>
      <w:bookmarkStart w:id="37" w:name="_Toc17233333"/>
      <w:bookmarkStart w:id="38" w:name="_Toc17233325"/>
      <w:r>
        <w:rPr>
          <w:rFonts w:hint="eastAsia"/>
          <w:color w:val="000000" w:themeColor="text1"/>
        </w:rPr>
        <w:t>范围</w:t>
      </w:r>
      <w:bookmarkEnd w:id="27"/>
      <w:bookmarkEnd w:id="28"/>
      <w:bookmarkEnd w:id="29"/>
      <w:bookmarkEnd w:id="30"/>
      <w:bookmarkEnd w:id="31"/>
      <w:bookmarkEnd w:id="32"/>
      <w:bookmarkEnd w:id="33"/>
      <w:bookmarkEnd w:id="34"/>
      <w:bookmarkEnd w:id="35"/>
      <w:bookmarkEnd w:id="36"/>
      <w:bookmarkEnd w:id="37"/>
      <w:bookmarkEnd w:id="38"/>
    </w:p>
    <w:p w14:paraId="1BA4F4F0">
      <w:pPr>
        <w:pStyle w:val="58"/>
        <w:ind w:firstLine="420"/>
        <w:rPr>
          <w:color w:val="000000" w:themeColor="text1"/>
        </w:rPr>
      </w:pPr>
      <w:bookmarkStart w:id="39" w:name="_Toc17233326"/>
      <w:bookmarkStart w:id="40" w:name="_Toc26648466"/>
      <w:bookmarkStart w:id="41" w:name="_Toc24884219"/>
      <w:bookmarkStart w:id="42" w:name="_Toc17233334"/>
      <w:bookmarkStart w:id="43" w:name="_Toc24884212"/>
      <w:r>
        <w:rPr>
          <w:rFonts w:hint="eastAsia"/>
          <w:color w:val="000000" w:themeColor="text1"/>
        </w:rPr>
        <w:t>本文件规定了</w:t>
      </w:r>
      <w:r>
        <w:rPr>
          <w:rFonts w:hint="eastAsia"/>
          <w:color w:val="000000" w:themeColor="text1"/>
          <w:lang w:val="en-US" w:eastAsia="zh-CN"/>
        </w:rPr>
        <w:t>塔式起重机安全</w:t>
      </w:r>
      <w:r>
        <w:rPr>
          <w:rFonts w:hint="eastAsia"/>
          <w:color w:val="000000" w:themeColor="text1"/>
        </w:rPr>
        <w:t>风险</w:t>
      </w:r>
      <w:r>
        <w:rPr>
          <w:rFonts w:hint="eastAsia"/>
          <w:color w:val="000000" w:themeColor="text1"/>
          <w:lang w:val="en-US" w:eastAsia="zh-CN"/>
        </w:rPr>
        <w:t>分级</w:t>
      </w:r>
      <w:r>
        <w:rPr>
          <w:rFonts w:hint="eastAsia"/>
          <w:color w:val="000000" w:themeColor="text1"/>
        </w:rPr>
        <w:t>管控和隐患排查治理工作的基本要求、程序及内容、文件管理、信息化和持续改进。</w:t>
      </w:r>
    </w:p>
    <w:p w14:paraId="0FF8E742">
      <w:pPr>
        <w:pStyle w:val="58"/>
        <w:ind w:firstLine="420"/>
        <w:rPr>
          <w:color w:val="000000" w:themeColor="text1"/>
        </w:rPr>
      </w:pPr>
      <w:r>
        <w:rPr>
          <w:rFonts w:hint="eastAsia"/>
          <w:color w:val="000000" w:themeColor="text1"/>
        </w:rPr>
        <w:t>本文件适用于</w:t>
      </w:r>
      <w:r>
        <w:rPr>
          <w:rFonts w:hint="eastAsia"/>
          <w:color w:val="000000" w:themeColor="text1"/>
          <w:lang w:val="en-US" w:eastAsia="zh-CN"/>
        </w:rPr>
        <w:t>塔式起重机</w:t>
      </w:r>
      <w:r>
        <w:rPr>
          <w:rFonts w:hint="eastAsia"/>
          <w:color w:val="000000" w:themeColor="text1"/>
        </w:rPr>
        <w:t>使用单位（以下简称“使用单位”）对</w:t>
      </w:r>
      <w:r>
        <w:rPr>
          <w:rFonts w:hint="eastAsia"/>
          <w:color w:val="000000" w:themeColor="text1"/>
          <w:lang w:val="en-US" w:eastAsia="zh-CN"/>
        </w:rPr>
        <w:t>塔式起重机</w:t>
      </w:r>
      <w:r>
        <w:rPr>
          <w:rFonts w:hint="eastAsia"/>
          <w:color w:val="000000" w:themeColor="text1"/>
        </w:rPr>
        <w:t>进行风险源辨识和采取风险控制措施、隐患排查治理的相关工作。检验机构、监督管理部门等特种设备相关单位参照使用。</w:t>
      </w:r>
    </w:p>
    <w:p w14:paraId="5254CF99">
      <w:pPr>
        <w:pStyle w:val="58"/>
        <w:ind w:firstLine="420"/>
        <w:rPr>
          <w:color w:val="000000" w:themeColor="text1"/>
        </w:rPr>
      </w:pPr>
      <w:r>
        <w:rPr>
          <w:rFonts w:hint="eastAsia"/>
          <w:color w:val="000000" w:themeColor="text1"/>
        </w:rPr>
        <w:t>本文件仅适用于</w:t>
      </w:r>
      <w:r>
        <w:rPr>
          <w:rFonts w:hint="eastAsia"/>
          <w:color w:val="000000" w:themeColor="text1"/>
          <w:lang w:val="en-US" w:eastAsia="zh-CN"/>
        </w:rPr>
        <w:t>塔式起重机</w:t>
      </w:r>
      <w:r>
        <w:rPr>
          <w:rFonts w:hint="eastAsia"/>
          <w:color w:val="000000" w:themeColor="text1"/>
        </w:rPr>
        <w:t>。</w:t>
      </w:r>
    </w:p>
    <w:p w14:paraId="477E730A">
      <w:pPr>
        <w:pStyle w:val="106"/>
        <w:spacing w:before="312" w:after="312"/>
        <w:rPr>
          <w:color w:val="000000" w:themeColor="text1"/>
        </w:rPr>
      </w:pPr>
      <w:bookmarkStart w:id="44" w:name="_Toc26986531"/>
      <w:bookmarkStart w:id="45" w:name="_Toc26986772"/>
      <w:bookmarkStart w:id="46" w:name="_Toc185672247"/>
      <w:bookmarkStart w:id="47" w:name="_Toc97191424"/>
      <w:bookmarkStart w:id="48" w:name="_Toc26718931"/>
      <w:bookmarkStart w:id="49" w:name="_Toc182082966"/>
      <w:bookmarkStart w:id="50" w:name="_Toc185426263"/>
      <w:r>
        <w:rPr>
          <w:rFonts w:hint="eastAsia"/>
          <w:color w:val="000000" w:themeColor="text1"/>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color w:val="000000" w:themeColor="text1"/>
        </w:rPr>
        <w:id w:val="715848253"/>
        <w:placeholder>
          <w:docPart w:val="351DED16C0714A5FBEF40BFD5083C6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rPr>
      </w:sdtEndPr>
      <w:sdtContent>
        <w:p w14:paraId="4712D8B9">
          <w:pPr>
            <w:pStyle w:val="58"/>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2B8757">
      <w:pPr>
        <w:pStyle w:val="233"/>
        <w:rPr>
          <w:rFonts w:hint="eastAsia" w:hAnsi="宋体"/>
          <w:color w:val="000000" w:themeColor="text1"/>
          <w:lang w:val="en-US" w:eastAsia="zh-CN"/>
        </w:rPr>
      </w:pPr>
    </w:p>
    <w:p w14:paraId="5F58E2B3">
      <w:pPr>
        <w:pStyle w:val="233"/>
        <w:rPr>
          <w:rFonts w:hint="eastAsia" w:hAnsi="宋体"/>
          <w:color w:val="000000" w:themeColor="text1"/>
          <w:lang w:val="en-US" w:eastAsia="zh-CN"/>
        </w:rPr>
      </w:pPr>
      <w:r>
        <w:rPr>
          <w:rFonts w:hint="eastAsia" w:hAnsi="宋体"/>
          <w:color w:val="000000" w:themeColor="text1"/>
          <w:lang w:val="en-US" w:eastAsia="zh-CN"/>
        </w:rPr>
        <w:t>GB/T 5031 塔式起重机</w:t>
      </w:r>
    </w:p>
    <w:p w14:paraId="47C18E59">
      <w:pPr>
        <w:pStyle w:val="233"/>
        <w:rPr>
          <w:rFonts w:hint="eastAsia" w:hAnsi="宋体"/>
          <w:color w:val="000000" w:themeColor="text1"/>
        </w:rPr>
      </w:pPr>
      <w:r>
        <w:rPr>
          <w:rFonts w:hint="eastAsia" w:hAnsi="宋体"/>
          <w:color w:val="000000" w:themeColor="text1"/>
        </w:rPr>
        <w:t xml:space="preserve">GB </w:t>
      </w:r>
      <w:r>
        <w:rPr>
          <w:rFonts w:hint="eastAsia" w:hAnsi="宋体"/>
          <w:color w:val="000000" w:themeColor="text1"/>
          <w:lang w:val="en-US" w:eastAsia="zh-CN"/>
        </w:rPr>
        <w:t>5144</w:t>
      </w:r>
      <w:r>
        <w:rPr>
          <w:rFonts w:hint="eastAsia" w:hAnsi="宋体"/>
          <w:color w:val="000000" w:themeColor="text1"/>
        </w:rPr>
        <w:t xml:space="preserve">  </w:t>
      </w:r>
      <w:r>
        <w:rPr>
          <w:rFonts w:hint="eastAsia" w:hAnsi="宋体"/>
          <w:color w:val="000000" w:themeColor="text1"/>
          <w:lang w:val="en-US" w:eastAsia="zh-CN"/>
        </w:rPr>
        <w:t>塔式起重机</w:t>
      </w:r>
      <w:r>
        <w:rPr>
          <w:rFonts w:hint="eastAsia" w:hAnsi="宋体"/>
          <w:color w:val="000000" w:themeColor="text1"/>
        </w:rPr>
        <w:t>安全规范</w:t>
      </w:r>
    </w:p>
    <w:p w14:paraId="77A771C9">
      <w:pPr>
        <w:pStyle w:val="233"/>
        <w:rPr>
          <w:color w:val="000000" w:themeColor="text1"/>
        </w:rPr>
      </w:pPr>
      <w:r>
        <w:rPr>
          <w:rFonts w:hint="eastAsia" w:hAnsi="宋体"/>
          <w:color w:val="000000" w:themeColor="text1"/>
        </w:rPr>
        <w:t xml:space="preserve">GB/T </w:t>
      </w:r>
      <w:r>
        <w:rPr>
          <w:rFonts w:hint="eastAsia" w:hAnsi="宋体"/>
          <w:color w:val="000000" w:themeColor="text1"/>
          <w:lang w:val="en-US" w:eastAsia="zh-CN"/>
        </w:rPr>
        <w:t>13752</w:t>
      </w:r>
      <w:r>
        <w:rPr>
          <w:rFonts w:hint="eastAsia" w:hAnsi="宋体"/>
          <w:color w:val="000000" w:themeColor="text1"/>
        </w:rPr>
        <w:t xml:space="preserve">  </w:t>
      </w:r>
      <w:r>
        <w:rPr>
          <w:rFonts w:hint="eastAsia" w:hAnsi="宋体"/>
          <w:color w:val="000000" w:themeColor="text1"/>
          <w:lang w:val="en-US" w:eastAsia="zh-CN"/>
        </w:rPr>
        <w:t>塔式起重机设计</w:t>
      </w:r>
      <w:r>
        <w:rPr>
          <w:rFonts w:hint="eastAsia" w:hAnsi="宋体"/>
          <w:color w:val="000000" w:themeColor="text1"/>
        </w:rPr>
        <w:t xml:space="preserve">规范 </w:t>
      </w:r>
    </w:p>
    <w:p w14:paraId="13BFD72A">
      <w:pPr>
        <w:pStyle w:val="233"/>
        <w:rPr>
          <w:rFonts w:hint="eastAsia" w:hAnsi="宋体"/>
          <w:color w:val="000000" w:themeColor="text1"/>
          <w:lang w:val="en-US" w:eastAsia="zh-CN"/>
        </w:rPr>
      </w:pPr>
      <w:r>
        <w:rPr>
          <w:rFonts w:hint="eastAsia" w:hAnsi="宋体"/>
          <w:color w:val="000000" w:themeColor="text1"/>
          <w:lang w:val="en-US" w:eastAsia="zh-CN"/>
        </w:rPr>
        <w:t>GB/T 26471 塔式起重机 安装、拆卸与爬升规则</w:t>
      </w:r>
    </w:p>
    <w:p w14:paraId="6DD419FA">
      <w:pPr>
        <w:pStyle w:val="233"/>
        <w:rPr>
          <w:rFonts w:hint="default" w:hAnsi="宋体"/>
          <w:color w:val="000000" w:themeColor="text1"/>
          <w:lang w:val="en-US" w:eastAsia="zh-CN"/>
        </w:rPr>
      </w:pPr>
      <w:r>
        <w:rPr>
          <w:rFonts w:hint="eastAsia" w:hAnsi="宋体"/>
          <w:color w:val="000000" w:themeColor="text1"/>
          <w:lang w:val="en-US" w:eastAsia="zh-CN"/>
        </w:rPr>
        <w:t>GB/T 31052.3  起重机械 检查与维护规程 第3部分：塔式起重机</w:t>
      </w:r>
    </w:p>
    <w:p w14:paraId="7E42CA88">
      <w:pPr>
        <w:pStyle w:val="233"/>
        <w:rPr>
          <w:rFonts w:hint="eastAsia" w:hAnsi="宋体"/>
          <w:color w:val="000000" w:themeColor="text1"/>
        </w:rPr>
      </w:pPr>
      <w:r>
        <w:rPr>
          <w:rFonts w:hint="eastAsia" w:hAnsi="宋体"/>
          <w:color w:val="000000" w:themeColor="text1"/>
        </w:rPr>
        <w:t>GB 45067  特种设备重大事故隐患判定准则</w:t>
      </w:r>
    </w:p>
    <w:p w14:paraId="42A8FC9D">
      <w:pPr>
        <w:pStyle w:val="233"/>
        <w:rPr>
          <w:rFonts w:hint="default" w:hAnsi="宋体" w:eastAsia="宋体"/>
          <w:color w:val="000000" w:themeColor="text1"/>
          <w:lang w:val="en-US" w:eastAsia="zh-CN"/>
        </w:rPr>
      </w:pPr>
      <w:r>
        <w:rPr>
          <w:rFonts w:hint="eastAsia" w:hAnsi="宋体"/>
          <w:color w:val="000000" w:themeColor="text1"/>
        </w:rPr>
        <w:t>TSG 08</w:t>
      </w:r>
      <w:r>
        <w:rPr>
          <w:rFonts w:hint="eastAsia" w:hAnsi="宋体"/>
          <w:color w:val="000000" w:themeColor="text1"/>
          <w:lang w:val="en-US" w:eastAsia="zh-CN"/>
        </w:rPr>
        <w:t xml:space="preserve">  特种设备使用管理规则</w:t>
      </w:r>
    </w:p>
    <w:p w14:paraId="62F7F670">
      <w:pPr>
        <w:pStyle w:val="106"/>
        <w:spacing w:before="312" w:after="312"/>
        <w:rPr>
          <w:color w:val="000000" w:themeColor="text1"/>
        </w:rPr>
      </w:pPr>
      <w:bookmarkStart w:id="51" w:name="_Toc182082967"/>
      <w:bookmarkStart w:id="52" w:name="_Toc97191425"/>
      <w:bookmarkStart w:id="53" w:name="_Toc185672248"/>
      <w:bookmarkStart w:id="54" w:name="_Toc185426264"/>
      <w:r>
        <w:rPr>
          <w:rFonts w:hint="eastAsia"/>
          <w:color w:val="000000" w:themeColor="text1"/>
          <w:szCs w:val="21"/>
        </w:rPr>
        <w:t>术语和定义</w:t>
      </w:r>
      <w:bookmarkEnd w:id="51"/>
      <w:bookmarkEnd w:id="52"/>
      <w:bookmarkEnd w:id="53"/>
      <w:bookmarkEnd w:id="54"/>
    </w:p>
    <w:sdt>
      <w:sdtPr>
        <w:rPr>
          <w:rFonts w:hAnsi="宋体"/>
          <w:color w:val="000000" w:themeColor="text1"/>
        </w:rPr>
        <w:id w:val="-1909835108"/>
        <w:placeholder>
          <w:docPart w:val="9F21BA288C7444E3A74E30C727BE87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color w:val="000000" w:themeColor="text1"/>
        </w:rPr>
      </w:sdtEndPr>
      <w:sdtContent>
        <w:p w14:paraId="063499E2">
          <w:pPr>
            <w:pStyle w:val="58"/>
            <w:ind w:firstLine="420"/>
            <w:rPr>
              <w:color w:val="000000" w:themeColor="text1"/>
            </w:rPr>
          </w:pPr>
          <w:bookmarkStart w:id="55" w:name="_Toc26986532"/>
          <w:bookmarkEnd w:id="55"/>
          <w:r>
            <w:rPr>
              <w:rFonts w:hint="eastAsia" w:hAnsi="宋体"/>
              <w:color w:val="000000" w:themeColor="text1"/>
            </w:rPr>
            <w:t>GB/T</w:t>
          </w:r>
          <w:r>
            <w:rPr>
              <w:rFonts w:hint="eastAsia" w:hAnsi="宋体"/>
              <w:color w:val="000000" w:themeColor="text1"/>
              <w:lang w:val="en-US" w:eastAsia="zh-CN"/>
            </w:rPr>
            <w:t xml:space="preserve"> 5031</w:t>
          </w:r>
          <w:r>
            <w:rPr>
              <w:rFonts w:hAnsi="宋体"/>
              <w:color w:val="000000" w:themeColor="text1"/>
            </w:rPr>
            <w:t>界定的以及下列术语和定义适用于本文件。</w:t>
          </w:r>
        </w:p>
      </w:sdtContent>
    </w:sdt>
    <w:p w14:paraId="13DD86DD">
      <w:pPr>
        <w:pStyle w:val="225"/>
        <w:ind w:left="420" w:hanging="420" w:hangingChars="200"/>
        <w:rPr>
          <w:rFonts w:ascii="黑体" w:hAnsi="黑体" w:eastAsia="黑体"/>
          <w:color w:val="000000" w:themeColor="text1"/>
        </w:rPr>
      </w:pPr>
      <w:r>
        <w:rPr>
          <w:rFonts w:ascii="黑体" w:hAnsi="黑体" w:eastAsia="黑体"/>
          <w:color w:val="000000" w:themeColor="text1"/>
        </w:rPr>
        <w:br w:type="textWrapping"/>
      </w:r>
      <w:r>
        <w:rPr>
          <w:rFonts w:ascii="黑体" w:hAnsi="黑体" w:eastAsia="黑体"/>
          <w:color w:val="000000" w:themeColor="text1"/>
        </w:rPr>
        <w:t>风险</w:t>
      </w:r>
      <w:r>
        <w:rPr>
          <w:rFonts w:hint="eastAsia" w:ascii="黑体" w:hAnsi="黑体" w:eastAsia="黑体"/>
          <w:color w:val="000000" w:themeColor="text1"/>
        </w:rPr>
        <w:t xml:space="preserve"> risk</w:t>
      </w:r>
    </w:p>
    <w:p w14:paraId="37D61DC4">
      <w:pPr>
        <w:pStyle w:val="234"/>
        <w:ind w:firstLine="420" w:firstLineChars="200"/>
        <w:rPr>
          <w:color w:val="000000" w:themeColor="text1"/>
        </w:rPr>
      </w:pPr>
      <w:r>
        <w:rPr>
          <w:rFonts w:hint="eastAsia"/>
          <w:color w:val="000000" w:themeColor="text1"/>
        </w:rPr>
        <w:t>失效</w:t>
      </w:r>
      <w:r>
        <w:rPr>
          <w:rFonts w:hint="eastAsia" w:ascii="宋体" w:hAnsi="宋体"/>
          <w:color w:val="000000" w:themeColor="text1"/>
        </w:rPr>
        <w:t>发生的概率与失效后果严重程度的综合</w:t>
      </w:r>
    </w:p>
    <w:p w14:paraId="505E3885">
      <w:pPr>
        <w:pStyle w:val="225"/>
        <w:ind w:left="420" w:hanging="420" w:hangingChars="200"/>
        <w:rPr>
          <w:rFonts w:ascii="黑体" w:hAnsi="黑体" w:eastAsia="黑体"/>
          <w:color w:val="000000" w:themeColor="text1"/>
        </w:rPr>
      </w:pPr>
      <w:r>
        <w:rPr>
          <w:rFonts w:ascii="黑体" w:hAnsi="黑体" w:eastAsia="黑体"/>
          <w:color w:val="000000" w:themeColor="text1"/>
        </w:rPr>
        <w:br w:type="textWrapping"/>
      </w:r>
      <w:r>
        <w:rPr>
          <w:rFonts w:hint="eastAsia" w:ascii="黑体" w:hAnsi="黑体" w:eastAsia="黑体"/>
          <w:color w:val="000000" w:themeColor="text1"/>
        </w:rPr>
        <w:t>风险管控  risk management and control</w:t>
      </w:r>
    </w:p>
    <w:p w14:paraId="19E060DC">
      <w:pPr>
        <w:pStyle w:val="58"/>
        <w:ind w:firstLine="420"/>
        <w:rPr>
          <w:color w:val="000000" w:themeColor="text1"/>
        </w:rPr>
      </w:pPr>
      <w:r>
        <w:rPr>
          <w:rFonts w:hint="eastAsia" w:hAnsi="宋体"/>
          <w:color w:val="000000" w:themeColor="text1"/>
        </w:rPr>
        <w:t>对风险源实施风险辨识、评价、风险控制，以及落实管控措施的过程。</w:t>
      </w:r>
    </w:p>
    <w:p w14:paraId="300270FF">
      <w:pPr>
        <w:pStyle w:val="225"/>
        <w:ind w:left="420" w:hanging="420" w:hangingChars="200"/>
        <w:rPr>
          <w:rFonts w:ascii="黑体" w:hAnsi="黑体" w:eastAsia="黑体"/>
          <w:color w:val="000000" w:themeColor="text1"/>
        </w:rPr>
      </w:pPr>
      <w:r>
        <w:rPr>
          <w:rFonts w:hint="eastAsia" w:ascii="黑体" w:hAnsi="黑体" w:eastAsia="黑体"/>
          <w:color w:val="000000" w:themeColor="text1"/>
        </w:rPr>
        <w:br w:type="textWrapping"/>
      </w:r>
      <w:r>
        <w:rPr>
          <w:rFonts w:hint="eastAsia"/>
          <w:color w:val="000000" w:themeColor="text1"/>
          <w:lang w:val="en-US" w:eastAsia="zh-CN"/>
        </w:rPr>
        <w:t>塔式起重机</w:t>
      </w:r>
      <w:r>
        <w:rPr>
          <w:rFonts w:hint="eastAsia" w:ascii="黑体" w:hAnsi="黑体" w:eastAsia="黑体"/>
          <w:color w:val="000000" w:themeColor="text1"/>
        </w:rPr>
        <w:t xml:space="preserve">风险源  risk source of </w:t>
      </w:r>
      <w:r>
        <w:rPr>
          <w:rFonts w:hint="eastAsia" w:ascii="黑体" w:hAnsi="黑体" w:eastAsia="黑体"/>
          <w:color w:val="000000" w:themeColor="text1"/>
          <w:lang w:val="en-US" w:eastAsia="zh-CN"/>
        </w:rPr>
        <w:t>tower cranes</w:t>
      </w:r>
    </w:p>
    <w:p w14:paraId="09011B30">
      <w:pPr>
        <w:pStyle w:val="58"/>
        <w:ind w:firstLine="420"/>
        <w:rPr>
          <w:color w:val="000000" w:themeColor="text1"/>
        </w:rPr>
      </w:pPr>
      <w:r>
        <w:rPr>
          <w:rFonts w:hint="eastAsia"/>
          <w:color w:val="000000" w:themeColor="text1"/>
          <w:lang w:val="en-US" w:eastAsia="zh-CN"/>
        </w:rPr>
        <w:t>塔式起重机</w:t>
      </w:r>
      <w:r>
        <w:rPr>
          <w:rFonts w:hint="eastAsia" w:hAnsi="宋体"/>
          <w:color w:val="000000" w:themeColor="text1"/>
        </w:rPr>
        <w:t>使用环境、</w:t>
      </w:r>
      <w:r>
        <w:rPr>
          <w:rFonts w:hint="eastAsia"/>
          <w:color w:val="000000" w:themeColor="text1"/>
          <w:lang w:val="en-US" w:eastAsia="zh-CN"/>
        </w:rPr>
        <w:t>塔式起重机</w:t>
      </w:r>
      <w:r>
        <w:rPr>
          <w:rFonts w:hint="eastAsia" w:hAnsi="宋体"/>
          <w:color w:val="000000" w:themeColor="text1"/>
        </w:rPr>
        <w:t>本体、人的行为以及</w:t>
      </w:r>
      <w:r>
        <w:rPr>
          <w:rFonts w:hint="eastAsia"/>
          <w:color w:val="000000" w:themeColor="text1"/>
          <w:lang w:val="en-US" w:eastAsia="zh-CN"/>
        </w:rPr>
        <w:t>塔式起重机</w:t>
      </w:r>
      <w:r>
        <w:rPr>
          <w:rFonts w:hint="eastAsia" w:hAnsi="宋体"/>
          <w:color w:val="000000" w:themeColor="text1"/>
        </w:rPr>
        <w:t>相关作业活动（包括维护保养、应急救援等）。</w:t>
      </w:r>
    </w:p>
    <w:p w14:paraId="759D8D20">
      <w:pPr>
        <w:pStyle w:val="58"/>
        <w:ind w:firstLine="420"/>
        <w:rPr>
          <w:color w:val="000000" w:themeColor="text1"/>
        </w:rPr>
      </w:pPr>
      <w:r>
        <w:rPr>
          <w:rFonts w:hint="eastAsia" w:hAnsi="宋体"/>
          <w:color w:val="000000" w:themeColor="text1"/>
        </w:rPr>
        <w:t>注：人的行为包括使用单位主要负责人、</w:t>
      </w:r>
      <w:r>
        <w:rPr>
          <w:rFonts w:hint="eastAsia"/>
          <w:color w:val="000000" w:themeColor="text1"/>
          <w:lang w:val="en-US" w:eastAsia="zh-CN"/>
        </w:rPr>
        <w:t>塔式起重机</w:t>
      </w:r>
      <w:r>
        <w:rPr>
          <w:rFonts w:hint="eastAsia" w:hAnsi="宋体"/>
          <w:color w:val="000000" w:themeColor="text1"/>
        </w:rPr>
        <w:t>安全总监、</w:t>
      </w:r>
      <w:r>
        <w:rPr>
          <w:rFonts w:hint="eastAsia"/>
          <w:color w:val="000000" w:themeColor="text1"/>
          <w:lang w:val="en-US" w:eastAsia="zh-CN"/>
        </w:rPr>
        <w:t>塔式起重机</w:t>
      </w:r>
      <w:r>
        <w:rPr>
          <w:rFonts w:hint="eastAsia" w:hAnsi="宋体"/>
          <w:color w:val="000000" w:themeColor="text1"/>
        </w:rPr>
        <w:t>安全员，以及</w:t>
      </w:r>
      <w:r>
        <w:rPr>
          <w:rFonts w:hint="eastAsia"/>
          <w:color w:val="000000" w:themeColor="text1"/>
          <w:lang w:val="en-US" w:eastAsia="zh-CN"/>
        </w:rPr>
        <w:t>塔式起重机</w:t>
      </w:r>
      <w:r>
        <w:rPr>
          <w:rFonts w:hint="eastAsia" w:hAnsi="宋体"/>
          <w:color w:val="000000" w:themeColor="text1"/>
        </w:rPr>
        <w:t>检验检测人员、维保人员、</w:t>
      </w:r>
      <w:r>
        <w:rPr>
          <w:rFonts w:hint="eastAsia" w:hAnsi="宋体"/>
          <w:color w:val="000000" w:themeColor="text1"/>
          <w:lang w:val="en-US" w:eastAsia="zh-CN"/>
        </w:rPr>
        <w:t>司机人员、司索人员、指挥人员</w:t>
      </w:r>
      <w:r>
        <w:rPr>
          <w:rFonts w:hint="eastAsia" w:hAnsi="宋体"/>
          <w:color w:val="000000" w:themeColor="text1"/>
        </w:rPr>
        <w:t>等的行为。</w:t>
      </w:r>
    </w:p>
    <w:p w14:paraId="71B342FE">
      <w:pPr>
        <w:pStyle w:val="225"/>
        <w:ind w:left="420" w:hanging="420" w:hangingChars="200"/>
        <w:rPr>
          <w:rFonts w:ascii="黑体" w:hAnsi="黑体" w:eastAsia="黑体"/>
          <w:color w:val="000000" w:themeColor="text1"/>
        </w:rPr>
      </w:pPr>
      <w:r>
        <w:rPr>
          <w:rFonts w:hint="eastAsia" w:ascii="黑体" w:hAnsi="黑体" w:eastAsia="黑体"/>
          <w:color w:val="000000" w:themeColor="text1"/>
        </w:rPr>
        <w:br w:type="textWrapping"/>
      </w:r>
      <w:r>
        <w:rPr>
          <w:rFonts w:hint="eastAsia" w:ascii="黑体" w:hAnsi="黑体" w:eastAsia="黑体"/>
          <w:color w:val="000000" w:themeColor="text1"/>
        </w:rPr>
        <w:t>隐患 hidden risk</w:t>
      </w:r>
    </w:p>
    <w:p w14:paraId="0A3E3021">
      <w:pPr>
        <w:pStyle w:val="58"/>
        <w:ind w:firstLine="420"/>
        <w:rPr>
          <w:color w:val="000000" w:themeColor="text1"/>
        </w:rPr>
      </w:pPr>
      <w:r>
        <w:rPr>
          <w:rFonts w:hint="eastAsia" w:hAnsi="宋体"/>
          <w:color w:val="000000" w:themeColor="text1"/>
        </w:rPr>
        <w:t>使用单位违反</w:t>
      </w:r>
      <w:r>
        <w:rPr>
          <w:rFonts w:hint="eastAsia"/>
          <w:color w:val="000000" w:themeColor="text1"/>
          <w:lang w:val="en-US" w:eastAsia="zh-CN"/>
        </w:rPr>
        <w:t>塔式起重机</w:t>
      </w:r>
      <w:r>
        <w:rPr>
          <w:rFonts w:hint="eastAsia" w:hAnsi="宋体"/>
          <w:color w:val="000000" w:themeColor="text1"/>
        </w:rPr>
        <w:t>安全的有关</w:t>
      </w:r>
      <w:r>
        <w:rPr>
          <w:rFonts w:hint="eastAsia" w:hAnsi="宋体"/>
          <w:color w:val="000000" w:themeColor="text1"/>
          <w:lang w:eastAsia="zh-CN"/>
        </w:rPr>
        <w:t>法律法规</w:t>
      </w:r>
      <w:r>
        <w:rPr>
          <w:rFonts w:hint="eastAsia" w:hAnsi="宋体"/>
          <w:color w:val="000000" w:themeColor="text1"/>
        </w:rPr>
        <w:t>、规章、安全技术规范、标准、设备技术文件和管理制度的规定，或使用过程中可能导致事故发生的因素，如人的不安全行为、物的不安全状态、环境的不安全因素和管理上的缺陷。</w:t>
      </w:r>
    </w:p>
    <w:p w14:paraId="006D0C0F">
      <w:pPr>
        <w:pStyle w:val="225"/>
        <w:ind w:left="420" w:hanging="420" w:hangingChars="200"/>
        <w:rPr>
          <w:rFonts w:ascii="黑体" w:hAnsi="黑体" w:eastAsia="黑体"/>
          <w:color w:val="000000" w:themeColor="text1"/>
        </w:rPr>
      </w:pPr>
      <w:r>
        <w:rPr>
          <w:rFonts w:hint="eastAsia" w:ascii="黑体" w:hAnsi="黑体" w:eastAsia="黑体"/>
          <w:color w:val="000000" w:themeColor="text1"/>
        </w:rPr>
        <w:br w:type="textWrapping"/>
      </w:r>
      <w:r>
        <w:rPr>
          <w:rFonts w:hint="eastAsia" w:ascii="黑体" w:hAnsi="黑体" w:eastAsia="黑体"/>
          <w:color w:val="000000" w:themeColor="text1"/>
        </w:rPr>
        <w:t>隐患排查治理 troubleshooting of the hidden risks</w:t>
      </w:r>
    </w:p>
    <w:p w14:paraId="053DA471">
      <w:pPr>
        <w:pStyle w:val="58"/>
        <w:ind w:firstLine="420"/>
        <w:rPr>
          <w:color w:val="000000" w:themeColor="text1"/>
        </w:rPr>
      </w:pPr>
      <w:r>
        <w:rPr>
          <w:rFonts w:hint="eastAsia" w:hAnsi="宋体"/>
          <w:color w:val="000000" w:themeColor="text1"/>
        </w:rPr>
        <w:t>使用单位采取技术、管理措施，及时发现并消除事故隐患。</w:t>
      </w:r>
    </w:p>
    <w:p w14:paraId="0EA163F2">
      <w:pPr>
        <w:pStyle w:val="106"/>
        <w:spacing w:before="312" w:after="312"/>
        <w:rPr>
          <w:color w:val="000000" w:themeColor="text1"/>
        </w:rPr>
      </w:pPr>
      <w:bookmarkStart w:id="56" w:name="_Toc185672249"/>
      <w:bookmarkStart w:id="57" w:name="_Toc185426265"/>
      <w:bookmarkStart w:id="58" w:name="_Toc182082968"/>
      <w:r>
        <w:rPr>
          <w:color w:val="000000" w:themeColor="text1"/>
        </w:rPr>
        <w:t>基本要求</w:t>
      </w:r>
      <w:bookmarkEnd w:id="56"/>
      <w:bookmarkEnd w:id="57"/>
      <w:bookmarkEnd w:id="58"/>
    </w:p>
    <w:p w14:paraId="4DF00FA2">
      <w:pPr>
        <w:pStyle w:val="107"/>
        <w:spacing w:before="156" w:after="156"/>
        <w:rPr>
          <w:color w:val="000000" w:themeColor="text1"/>
        </w:rPr>
      </w:pPr>
      <w:bookmarkStart w:id="59" w:name="_Toc182082969"/>
      <w:bookmarkStart w:id="60" w:name="_Toc185426266"/>
      <w:bookmarkStart w:id="61" w:name="_Toc185672250"/>
      <w:r>
        <w:rPr>
          <w:rFonts w:hint="eastAsia"/>
          <w:color w:val="000000" w:themeColor="text1"/>
        </w:rPr>
        <w:t>风险管控和隐患排查治理</w:t>
      </w:r>
      <w:bookmarkEnd w:id="59"/>
      <w:bookmarkEnd w:id="60"/>
      <w:bookmarkEnd w:id="61"/>
    </w:p>
    <w:p w14:paraId="4D8B611F">
      <w:pPr>
        <w:pStyle w:val="58"/>
        <w:ind w:firstLine="420"/>
        <w:rPr>
          <w:color w:val="000000" w:themeColor="text1"/>
        </w:rPr>
      </w:pPr>
      <w:r>
        <w:rPr>
          <w:rFonts w:hint="eastAsia" w:hAnsi="宋体"/>
          <w:color w:val="000000" w:themeColor="text1"/>
        </w:rPr>
        <w:t>使用单位依据本文件中风险管控程序，进行</w:t>
      </w:r>
      <w:r>
        <w:rPr>
          <w:rFonts w:hint="eastAsia"/>
          <w:color w:val="000000" w:themeColor="text1"/>
          <w:lang w:val="en-US" w:eastAsia="zh-CN"/>
        </w:rPr>
        <w:t>塔式起重机</w:t>
      </w:r>
      <w:r>
        <w:rPr>
          <w:rFonts w:hint="eastAsia" w:hAnsi="宋体"/>
          <w:color w:val="000000" w:themeColor="text1"/>
        </w:rPr>
        <w:t>的风险辨识、评价、确定风险等级，明确分级管控的责任人，落实管控措施，形成风险分级管控清单。</w:t>
      </w:r>
    </w:p>
    <w:p w14:paraId="1DD8AB0A">
      <w:pPr>
        <w:pStyle w:val="58"/>
        <w:ind w:firstLine="420"/>
        <w:rPr>
          <w:color w:val="000000" w:themeColor="text1"/>
        </w:rPr>
      </w:pPr>
      <w:r>
        <w:rPr>
          <w:rFonts w:hint="eastAsia" w:hAnsi="宋体"/>
          <w:color w:val="000000" w:themeColor="text1"/>
        </w:rPr>
        <w:t>使用单位根据风险分级管控清单，按照</w:t>
      </w:r>
      <w:r>
        <w:rPr>
          <w:rFonts w:hint="eastAsia"/>
          <w:color w:val="000000" w:themeColor="text1"/>
          <w:lang w:val="en-US" w:eastAsia="zh-CN"/>
        </w:rPr>
        <w:t>塔式起重机</w:t>
      </w:r>
      <w:r>
        <w:rPr>
          <w:rFonts w:hint="eastAsia" w:hAnsi="宋体"/>
          <w:color w:val="000000" w:themeColor="text1"/>
        </w:rPr>
        <w:t>相关</w:t>
      </w:r>
      <w:r>
        <w:rPr>
          <w:rFonts w:hint="eastAsia" w:hAnsi="宋体"/>
          <w:color w:val="000000" w:themeColor="text1"/>
          <w:lang w:eastAsia="zh-CN"/>
        </w:rPr>
        <w:t>法律法规</w:t>
      </w:r>
      <w:r>
        <w:rPr>
          <w:rFonts w:hint="eastAsia" w:hAnsi="宋体"/>
          <w:color w:val="000000" w:themeColor="text1"/>
        </w:rPr>
        <w:t>、规章、安全技术规范、标准和技术文件的要求，形成隐患排查的内容记录，确定隐患排查的类型和周期，进行隐患排查治理。</w:t>
      </w:r>
    </w:p>
    <w:p w14:paraId="475998CB">
      <w:pPr>
        <w:pStyle w:val="107"/>
        <w:spacing w:before="156" w:after="156"/>
        <w:rPr>
          <w:color w:val="000000" w:themeColor="text1"/>
        </w:rPr>
      </w:pPr>
      <w:bookmarkStart w:id="62" w:name="_Toc185426267"/>
      <w:bookmarkStart w:id="63" w:name="_Toc182082970"/>
      <w:bookmarkStart w:id="64" w:name="_Toc185672251"/>
      <w:r>
        <w:rPr>
          <w:rFonts w:hint="eastAsia"/>
          <w:color w:val="000000" w:themeColor="text1"/>
        </w:rPr>
        <w:t>机构设置</w:t>
      </w:r>
      <w:bookmarkEnd w:id="62"/>
      <w:bookmarkEnd w:id="63"/>
      <w:bookmarkEnd w:id="64"/>
    </w:p>
    <w:p w14:paraId="1B6F70E9">
      <w:pPr>
        <w:pStyle w:val="58"/>
        <w:ind w:firstLine="420"/>
        <w:rPr>
          <w:color w:val="000000" w:themeColor="text1"/>
        </w:rPr>
      </w:pPr>
      <w:r>
        <w:rPr>
          <w:rFonts w:hint="eastAsia" w:hAnsi="宋体"/>
          <w:color w:val="000000" w:themeColor="text1"/>
        </w:rPr>
        <w:t>使用单位应按TSG 08和《特种设备使用单位落实使用安全主体责任监督管理规定》的要求设置特种设备安全管理机构，配备</w:t>
      </w:r>
      <w:r>
        <w:rPr>
          <w:rFonts w:hint="eastAsia"/>
          <w:color w:val="000000" w:themeColor="text1"/>
          <w:lang w:val="en-US" w:eastAsia="zh-CN"/>
        </w:rPr>
        <w:t>塔式起重机</w:t>
      </w:r>
      <w:r>
        <w:rPr>
          <w:rFonts w:hint="eastAsia" w:hAnsi="宋体"/>
          <w:color w:val="000000" w:themeColor="text1"/>
        </w:rPr>
        <w:t>安全总监、安全管理负责人、安全管理员，组织</w:t>
      </w:r>
      <w:r>
        <w:rPr>
          <w:rFonts w:hint="eastAsia"/>
          <w:color w:val="000000" w:themeColor="text1"/>
          <w:lang w:val="en-US" w:eastAsia="zh-CN"/>
        </w:rPr>
        <w:t>塔式起重机</w:t>
      </w:r>
      <w:r>
        <w:rPr>
          <w:rFonts w:hint="eastAsia" w:hAnsi="宋体"/>
          <w:color w:val="000000" w:themeColor="text1"/>
        </w:rPr>
        <w:t>风险管控和隐患排查治理工作。</w:t>
      </w:r>
    </w:p>
    <w:p w14:paraId="5266EABA">
      <w:pPr>
        <w:pStyle w:val="107"/>
        <w:spacing w:before="156" w:after="156"/>
        <w:rPr>
          <w:color w:val="000000" w:themeColor="text1"/>
        </w:rPr>
      </w:pPr>
      <w:bookmarkStart w:id="65" w:name="_Toc182082971"/>
      <w:bookmarkStart w:id="66" w:name="_Toc185426268"/>
      <w:bookmarkStart w:id="67" w:name="_Toc185672252"/>
      <w:r>
        <w:rPr>
          <w:rFonts w:hint="eastAsia"/>
          <w:color w:val="000000" w:themeColor="text1"/>
        </w:rPr>
        <w:t>人员职责</w:t>
      </w:r>
      <w:bookmarkEnd w:id="65"/>
      <w:bookmarkEnd w:id="66"/>
      <w:bookmarkEnd w:id="67"/>
    </w:p>
    <w:p w14:paraId="03510655">
      <w:pPr>
        <w:pStyle w:val="167"/>
        <w:rPr>
          <w:color w:val="000000" w:themeColor="text1"/>
        </w:rPr>
      </w:pPr>
      <w:r>
        <w:rPr>
          <w:rFonts w:hint="eastAsia"/>
          <w:color w:val="000000" w:themeColor="text1"/>
        </w:rPr>
        <w:t>主要负责人职责：</w:t>
      </w:r>
    </w:p>
    <w:p w14:paraId="4572117D">
      <w:pPr>
        <w:pStyle w:val="134"/>
        <w:rPr>
          <w:color w:val="000000" w:themeColor="text1"/>
        </w:rPr>
      </w:pPr>
      <w:r>
        <w:rPr>
          <w:rFonts w:hint="eastAsia"/>
          <w:color w:val="000000" w:themeColor="text1"/>
        </w:rPr>
        <w:t>组织建立</w:t>
      </w:r>
      <w:r>
        <w:rPr>
          <w:rFonts w:hint="eastAsia"/>
          <w:color w:val="000000" w:themeColor="text1"/>
          <w:lang w:val="en-US" w:eastAsia="zh-CN"/>
        </w:rPr>
        <w:t>塔式起重机</w:t>
      </w:r>
      <w:r>
        <w:rPr>
          <w:rFonts w:hint="eastAsia"/>
          <w:color w:val="000000" w:themeColor="text1"/>
        </w:rPr>
        <w:t>风险管控和隐患排查治理双重体系，并定期评审；</w:t>
      </w:r>
    </w:p>
    <w:p w14:paraId="3A17BE61">
      <w:pPr>
        <w:pStyle w:val="134"/>
        <w:rPr>
          <w:color w:val="000000" w:themeColor="text1"/>
        </w:rPr>
      </w:pPr>
      <w:r>
        <w:rPr>
          <w:rFonts w:hint="eastAsia"/>
          <w:color w:val="000000" w:themeColor="text1"/>
        </w:rPr>
        <w:t>确保财务、人力资源等部门的投入，建立考核奖惩机制；</w:t>
      </w:r>
    </w:p>
    <w:p w14:paraId="2F6A6BA5">
      <w:pPr>
        <w:pStyle w:val="134"/>
        <w:rPr>
          <w:color w:val="000000" w:themeColor="text1"/>
        </w:rPr>
      </w:pPr>
      <w:r>
        <w:rPr>
          <w:rFonts w:hint="eastAsia"/>
          <w:color w:val="000000" w:themeColor="text1"/>
        </w:rPr>
        <w:t>及时、如实报告事故，组织事故救援。</w:t>
      </w:r>
    </w:p>
    <w:p w14:paraId="1275A552">
      <w:pPr>
        <w:pStyle w:val="167"/>
        <w:rPr>
          <w:color w:val="000000" w:themeColor="text1"/>
        </w:rPr>
      </w:pPr>
      <w:r>
        <w:rPr>
          <w:rFonts w:hint="eastAsia"/>
          <w:color w:val="000000" w:themeColor="text1"/>
          <w:lang w:val="en-US" w:eastAsia="zh-CN"/>
        </w:rPr>
        <w:t>塔式起重机</w:t>
      </w:r>
      <w:r>
        <w:rPr>
          <w:rFonts w:hint="eastAsia"/>
          <w:color w:val="000000" w:themeColor="text1"/>
        </w:rPr>
        <w:t>安全总监职责：</w:t>
      </w:r>
    </w:p>
    <w:p w14:paraId="373A507E">
      <w:pPr>
        <w:pStyle w:val="134"/>
        <w:rPr>
          <w:color w:val="000000" w:themeColor="text1"/>
        </w:rPr>
      </w:pPr>
      <w:r>
        <w:rPr>
          <w:rFonts w:hint="eastAsia"/>
          <w:color w:val="000000" w:themeColor="text1"/>
        </w:rPr>
        <w:t>可以兼任安全管理负责人；</w:t>
      </w:r>
    </w:p>
    <w:p w14:paraId="18CC22DD">
      <w:pPr>
        <w:pStyle w:val="134"/>
        <w:rPr>
          <w:color w:val="000000" w:themeColor="text1"/>
        </w:rPr>
      </w:pPr>
      <w:r>
        <w:rPr>
          <w:rFonts w:hint="eastAsia"/>
          <w:color w:val="000000" w:themeColor="text1"/>
        </w:rPr>
        <w:t>负责组织起草本单位</w:t>
      </w:r>
      <w:r>
        <w:rPr>
          <w:rFonts w:hint="eastAsia"/>
          <w:color w:val="000000" w:themeColor="text1"/>
          <w:lang w:val="en-US" w:eastAsia="zh-CN"/>
        </w:rPr>
        <w:t>塔式起重机</w:t>
      </w:r>
      <w:r>
        <w:rPr>
          <w:rFonts w:hint="eastAsia"/>
          <w:color w:val="000000" w:themeColor="text1"/>
        </w:rPr>
        <w:t>风险管控和隐患排查治理的体系文件，确保</w:t>
      </w:r>
      <w:r>
        <w:rPr>
          <w:rFonts w:hint="eastAsia"/>
          <w:color w:val="000000" w:themeColor="text1"/>
          <w:lang w:val="en-US" w:eastAsia="zh-CN"/>
        </w:rPr>
        <w:t>塔式起重机</w:t>
      </w:r>
      <w:r>
        <w:rPr>
          <w:rFonts w:hint="eastAsia"/>
          <w:color w:val="000000" w:themeColor="text1"/>
        </w:rPr>
        <w:t>风险管控和隐患排查治理得到有效实施；</w:t>
      </w:r>
    </w:p>
    <w:p w14:paraId="59E8CD44">
      <w:pPr>
        <w:pStyle w:val="134"/>
        <w:rPr>
          <w:color w:val="000000" w:themeColor="text1"/>
        </w:rPr>
      </w:pPr>
      <w:r>
        <w:rPr>
          <w:rFonts w:hint="eastAsia"/>
          <w:color w:val="000000" w:themeColor="text1"/>
        </w:rPr>
        <w:t>组织进行隐患排查，督促落实隐患治理措施；</w:t>
      </w:r>
    </w:p>
    <w:p w14:paraId="50C52B08">
      <w:pPr>
        <w:pStyle w:val="134"/>
        <w:rPr>
          <w:color w:val="000000" w:themeColor="text1"/>
        </w:rPr>
      </w:pPr>
      <w:r>
        <w:rPr>
          <w:rFonts w:hint="eastAsia"/>
          <w:color w:val="000000" w:themeColor="text1"/>
        </w:rPr>
        <w:t>当</w:t>
      </w:r>
      <w:r>
        <w:rPr>
          <w:rFonts w:hint="eastAsia"/>
          <w:color w:val="000000" w:themeColor="text1"/>
          <w:lang w:val="en-US" w:eastAsia="zh-CN"/>
        </w:rPr>
        <w:t>塔式起重机</w:t>
      </w:r>
      <w:r>
        <w:rPr>
          <w:rFonts w:hint="eastAsia"/>
          <w:color w:val="000000" w:themeColor="text1"/>
        </w:rPr>
        <w:t>安全员报告</w:t>
      </w:r>
      <w:r>
        <w:rPr>
          <w:rFonts w:hint="eastAsia"/>
          <w:color w:val="000000" w:themeColor="text1"/>
          <w:lang w:val="en-US" w:eastAsia="zh-CN"/>
        </w:rPr>
        <w:t>塔式起重机</w:t>
      </w:r>
      <w:r>
        <w:rPr>
          <w:rFonts w:hint="eastAsia"/>
          <w:color w:val="000000" w:themeColor="text1"/>
        </w:rPr>
        <w:t>存在事故隐患时，应当作出决定，</w:t>
      </w:r>
      <w:r>
        <w:rPr>
          <w:rFonts w:hint="eastAsia"/>
          <w:color w:val="000000" w:themeColor="text1"/>
          <w:lang w:eastAsia="zh-CN"/>
        </w:rPr>
        <w:t>并</w:t>
      </w:r>
      <w:r>
        <w:rPr>
          <w:rFonts w:hint="eastAsia"/>
          <w:color w:val="000000" w:themeColor="text1"/>
        </w:rPr>
        <w:t>及时报告本单位主要负责人。</w:t>
      </w:r>
    </w:p>
    <w:p w14:paraId="35CAE24C">
      <w:pPr>
        <w:pStyle w:val="167"/>
        <w:rPr>
          <w:color w:val="000000" w:themeColor="text1"/>
        </w:rPr>
      </w:pPr>
      <w:r>
        <w:rPr>
          <w:rFonts w:hint="eastAsia"/>
          <w:color w:val="000000" w:themeColor="text1"/>
          <w:lang w:val="en-US" w:eastAsia="zh-CN"/>
        </w:rPr>
        <w:t>塔式起重机</w:t>
      </w:r>
      <w:r>
        <w:rPr>
          <w:rFonts w:hint="eastAsia"/>
          <w:color w:val="000000" w:themeColor="text1"/>
        </w:rPr>
        <w:t>安全员职责：</w:t>
      </w:r>
    </w:p>
    <w:p w14:paraId="7CA06E86">
      <w:pPr>
        <w:pStyle w:val="134"/>
        <w:rPr>
          <w:b/>
          <w:color w:val="000000" w:themeColor="text1"/>
        </w:rPr>
      </w:pPr>
      <w:r>
        <w:rPr>
          <w:rFonts w:hint="eastAsia"/>
          <w:color w:val="000000" w:themeColor="text1"/>
        </w:rPr>
        <w:t>可以兼任安全管理员；</w:t>
      </w:r>
    </w:p>
    <w:p w14:paraId="21720C79">
      <w:pPr>
        <w:pStyle w:val="134"/>
        <w:rPr>
          <w:color w:val="000000" w:themeColor="text1"/>
        </w:rPr>
      </w:pPr>
      <w:r>
        <w:rPr>
          <w:rFonts w:hint="eastAsia"/>
          <w:color w:val="000000" w:themeColor="text1"/>
        </w:rPr>
        <w:t>负责</w:t>
      </w:r>
      <w:r>
        <w:rPr>
          <w:rFonts w:hint="eastAsia"/>
          <w:color w:val="000000" w:themeColor="text1"/>
          <w:lang w:val="en-US" w:eastAsia="zh-CN"/>
        </w:rPr>
        <w:t>塔式起重机</w:t>
      </w:r>
      <w:r>
        <w:rPr>
          <w:rFonts w:hint="eastAsia"/>
          <w:color w:val="000000" w:themeColor="text1"/>
        </w:rPr>
        <w:t>使用状况日常检查、风险管控和隐患排查治理，并如实填写运行、交接班等记录；</w:t>
      </w:r>
    </w:p>
    <w:p w14:paraId="08267774">
      <w:pPr>
        <w:pStyle w:val="134"/>
        <w:rPr>
          <w:color w:val="000000" w:themeColor="text1"/>
        </w:rPr>
      </w:pPr>
      <w:r>
        <w:rPr>
          <w:rFonts w:hint="eastAsia"/>
          <w:color w:val="000000" w:themeColor="text1"/>
        </w:rPr>
        <w:t xml:space="preserve">申报使用登记和定期检验，落实风险管控和隐患排查治理； </w:t>
      </w:r>
    </w:p>
    <w:p w14:paraId="6F308E8D">
      <w:pPr>
        <w:pStyle w:val="134"/>
        <w:rPr>
          <w:color w:val="000000" w:themeColor="text1"/>
        </w:rPr>
      </w:pPr>
      <w:r>
        <w:rPr>
          <w:rFonts w:hint="eastAsia"/>
          <w:color w:val="000000" w:themeColor="text1"/>
        </w:rPr>
        <w:t>发现</w:t>
      </w:r>
      <w:r>
        <w:rPr>
          <w:rFonts w:hint="eastAsia"/>
          <w:color w:val="000000" w:themeColor="text1"/>
          <w:lang w:val="en-US" w:eastAsia="zh-CN"/>
        </w:rPr>
        <w:t>塔式起重机</w:t>
      </w:r>
      <w:r>
        <w:rPr>
          <w:rFonts w:hint="eastAsia"/>
          <w:color w:val="000000" w:themeColor="text1"/>
        </w:rPr>
        <w:t>事故隐患，立即进行治理，情况紧急时，可以决定停止使用</w:t>
      </w:r>
      <w:r>
        <w:rPr>
          <w:rFonts w:hint="eastAsia"/>
          <w:color w:val="000000" w:themeColor="text1"/>
          <w:lang w:val="en-US" w:eastAsia="zh-CN"/>
        </w:rPr>
        <w:t>塔式起重机</w:t>
      </w:r>
      <w:r>
        <w:rPr>
          <w:rFonts w:hint="eastAsia"/>
          <w:color w:val="000000" w:themeColor="text1"/>
        </w:rPr>
        <w:t>，</w:t>
      </w:r>
      <w:r>
        <w:rPr>
          <w:rFonts w:hint="eastAsia"/>
          <w:color w:val="000000" w:themeColor="text1"/>
          <w:lang w:eastAsia="zh-CN"/>
        </w:rPr>
        <w:t>并</w:t>
      </w:r>
      <w:r>
        <w:rPr>
          <w:rFonts w:hint="eastAsia"/>
          <w:color w:val="000000" w:themeColor="text1"/>
        </w:rPr>
        <w:t>及时报告本单位</w:t>
      </w:r>
      <w:r>
        <w:rPr>
          <w:rFonts w:hint="eastAsia"/>
          <w:color w:val="000000" w:themeColor="text1"/>
          <w:lang w:val="en-US" w:eastAsia="zh-CN"/>
        </w:rPr>
        <w:t>塔式起重机</w:t>
      </w:r>
      <w:r>
        <w:rPr>
          <w:rFonts w:hint="eastAsia"/>
          <w:color w:val="000000" w:themeColor="text1"/>
        </w:rPr>
        <w:t>安全总监；</w:t>
      </w:r>
    </w:p>
    <w:p w14:paraId="26340425">
      <w:pPr>
        <w:pStyle w:val="134"/>
        <w:rPr>
          <w:color w:val="000000" w:themeColor="text1"/>
        </w:rPr>
      </w:pPr>
      <w:r>
        <w:rPr>
          <w:rFonts w:hint="eastAsia"/>
          <w:color w:val="000000" w:themeColor="text1"/>
        </w:rPr>
        <w:t>制止</w:t>
      </w:r>
      <w:r>
        <w:rPr>
          <w:rFonts w:hint="eastAsia"/>
          <w:color w:val="000000" w:themeColor="text1"/>
          <w:lang w:val="en-US" w:eastAsia="zh-CN"/>
        </w:rPr>
        <w:t>塔式起重机</w:t>
      </w:r>
      <w:r>
        <w:rPr>
          <w:rFonts w:hint="eastAsia"/>
          <w:color w:val="000000" w:themeColor="text1"/>
        </w:rPr>
        <w:t>维保人员的不安全作业行为。</w:t>
      </w:r>
    </w:p>
    <w:p w14:paraId="090FB7CF">
      <w:pPr>
        <w:pStyle w:val="107"/>
        <w:spacing w:before="156" w:after="156"/>
        <w:rPr>
          <w:color w:val="000000" w:themeColor="text1"/>
        </w:rPr>
      </w:pPr>
      <w:bookmarkStart w:id="68" w:name="_Toc185672253"/>
      <w:bookmarkStart w:id="69" w:name="_Toc185426269"/>
      <w:bookmarkStart w:id="70" w:name="_Toc182082972"/>
      <w:r>
        <w:rPr>
          <w:rFonts w:hint="eastAsia"/>
          <w:color w:val="000000" w:themeColor="text1"/>
        </w:rPr>
        <w:t>管理制度</w:t>
      </w:r>
      <w:bookmarkEnd w:id="68"/>
      <w:bookmarkEnd w:id="69"/>
      <w:bookmarkEnd w:id="70"/>
    </w:p>
    <w:p w14:paraId="6FE6FB4D">
      <w:pPr>
        <w:pStyle w:val="167"/>
        <w:rPr>
          <w:color w:val="000000" w:themeColor="text1"/>
        </w:rPr>
      </w:pPr>
      <w:r>
        <w:rPr>
          <w:rFonts w:hint="eastAsia"/>
          <w:color w:val="000000" w:themeColor="text1"/>
        </w:rPr>
        <w:t>使用单位应按</w:t>
      </w:r>
      <w:r>
        <w:rPr>
          <w:rFonts w:hint="eastAsia"/>
          <w:color w:val="000000" w:themeColor="text1"/>
          <w:lang w:val="en-US" w:eastAsia="zh-CN"/>
        </w:rPr>
        <w:t>塔式起重机</w:t>
      </w:r>
      <w:r>
        <w:rPr>
          <w:rFonts w:hint="eastAsia"/>
          <w:color w:val="000000" w:themeColor="text1"/>
        </w:rPr>
        <w:t>相关</w:t>
      </w:r>
      <w:r>
        <w:rPr>
          <w:rFonts w:hint="eastAsia"/>
          <w:color w:val="000000" w:themeColor="text1"/>
          <w:lang w:eastAsia="zh-CN"/>
        </w:rPr>
        <w:t>法律法规</w:t>
      </w:r>
      <w:r>
        <w:rPr>
          <w:rFonts w:hint="eastAsia"/>
          <w:color w:val="000000" w:themeColor="text1"/>
        </w:rPr>
        <w:t>、规章和安全技术规范的要求，建立健全</w:t>
      </w:r>
      <w:r>
        <w:rPr>
          <w:rFonts w:hint="eastAsia"/>
          <w:color w:val="000000" w:themeColor="text1"/>
          <w:lang w:val="en-US" w:eastAsia="zh-CN"/>
        </w:rPr>
        <w:t>塔式起重机</w:t>
      </w:r>
      <w:r>
        <w:rPr>
          <w:rFonts w:hint="eastAsia"/>
          <w:color w:val="000000" w:themeColor="text1"/>
        </w:rPr>
        <w:t>安全管理制度。</w:t>
      </w:r>
    </w:p>
    <w:p w14:paraId="12CDDEA6">
      <w:pPr>
        <w:pStyle w:val="167"/>
        <w:rPr>
          <w:color w:val="000000" w:themeColor="text1"/>
        </w:rPr>
      </w:pPr>
      <w:r>
        <w:rPr>
          <w:rFonts w:hint="eastAsia"/>
          <w:color w:val="000000" w:themeColor="text1"/>
          <w:lang w:val="en-US" w:eastAsia="zh-CN"/>
        </w:rPr>
        <w:t>塔式起重机</w:t>
      </w:r>
      <w:r>
        <w:rPr>
          <w:rFonts w:hint="eastAsia"/>
          <w:color w:val="000000" w:themeColor="text1"/>
        </w:rPr>
        <w:t>风险管控和隐患排查治理工作制度应包括以下内容：</w:t>
      </w:r>
    </w:p>
    <w:p w14:paraId="6231071C">
      <w:pPr>
        <w:pStyle w:val="134"/>
        <w:rPr>
          <w:color w:val="000000" w:themeColor="text1"/>
        </w:rPr>
      </w:pPr>
      <w:r>
        <w:rPr>
          <w:rFonts w:hint="eastAsia"/>
          <w:color w:val="000000" w:themeColor="text1"/>
        </w:rPr>
        <w:t>规定</w:t>
      </w:r>
      <w:r>
        <w:rPr>
          <w:rFonts w:hint="eastAsia"/>
          <w:color w:val="000000" w:themeColor="text1"/>
          <w:lang w:val="en-US" w:eastAsia="zh-CN"/>
        </w:rPr>
        <w:t>塔式起重机</w:t>
      </w:r>
      <w:r>
        <w:rPr>
          <w:rFonts w:hint="eastAsia"/>
          <w:color w:val="000000" w:themeColor="text1"/>
        </w:rPr>
        <w:t>风险管控工作流程，明确各岗位风险管控职责；明确风险管控措施、安全风险告知等内容。</w:t>
      </w:r>
    </w:p>
    <w:p w14:paraId="2F2CA108">
      <w:pPr>
        <w:pStyle w:val="134"/>
        <w:rPr>
          <w:color w:val="000000" w:themeColor="text1"/>
        </w:rPr>
      </w:pPr>
      <w:r>
        <w:rPr>
          <w:rFonts w:hint="eastAsia"/>
          <w:color w:val="000000" w:themeColor="text1"/>
        </w:rPr>
        <w:t>规定</w:t>
      </w:r>
      <w:r>
        <w:rPr>
          <w:rFonts w:hint="eastAsia"/>
          <w:color w:val="000000" w:themeColor="text1"/>
          <w:lang w:val="en-US" w:eastAsia="zh-CN"/>
        </w:rPr>
        <w:t>塔式起重机</w:t>
      </w:r>
      <w:r>
        <w:rPr>
          <w:rFonts w:hint="eastAsia"/>
          <w:color w:val="000000" w:themeColor="text1"/>
        </w:rPr>
        <w:t>隐患排查治理工作流程，明确各岗位隐患排查治理职责；规定</w:t>
      </w:r>
      <w:r>
        <w:rPr>
          <w:rFonts w:hint="eastAsia"/>
          <w:color w:val="000000" w:themeColor="text1"/>
          <w:lang w:val="en-US" w:eastAsia="zh-CN"/>
        </w:rPr>
        <w:t>塔式起重机</w:t>
      </w:r>
      <w:r>
        <w:rPr>
          <w:rFonts w:hint="eastAsia"/>
          <w:color w:val="000000" w:themeColor="text1"/>
        </w:rPr>
        <w:t>隐患排查治理体系建设、运行和管理的措施，明确排查主体、周期、内容及实施流程，确定隐患整改、验收工作流程等。</w:t>
      </w:r>
    </w:p>
    <w:p w14:paraId="7AEF03EB">
      <w:pPr>
        <w:pStyle w:val="134"/>
        <w:rPr>
          <w:color w:val="000000" w:themeColor="text1"/>
        </w:rPr>
      </w:pPr>
      <w:bookmarkStart w:id="169" w:name="_GoBack"/>
      <w:r>
        <w:rPr>
          <w:rFonts w:hint="eastAsia"/>
          <w:color w:val="000000" w:themeColor="text1"/>
        </w:rPr>
        <w:t>宜将</w:t>
      </w:r>
      <w:bookmarkEnd w:id="169"/>
      <w:r>
        <w:rPr>
          <w:rFonts w:hint="eastAsia"/>
          <w:color w:val="000000" w:themeColor="text1"/>
        </w:rPr>
        <w:t>风险管控和隐患排查治理工作的实行情况，与本单位各岗位人员的绩效挂钩，进行考核奖惩。</w:t>
      </w:r>
    </w:p>
    <w:p w14:paraId="7E746EEA">
      <w:pPr>
        <w:pStyle w:val="106"/>
        <w:spacing w:before="312" w:after="312"/>
        <w:rPr>
          <w:color w:val="000000" w:themeColor="text1"/>
        </w:rPr>
      </w:pPr>
      <w:bookmarkStart w:id="71" w:name="_Toc182082973"/>
      <w:bookmarkStart w:id="72" w:name="_Toc185672254"/>
      <w:bookmarkStart w:id="73" w:name="_Toc185426270"/>
      <w:r>
        <w:rPr>
          <w:color w:val="000000" w:themeColor="text1"/>
        </w:rPr>
        <w:t>风险管控</w:t>
      </w:r>
      <w:bookmarkEnd w:id="71"/>
      <w:bookmarkEnd w:id="72"/>
      <w:bookmarkEnd w:id="73"/>
    </w:p>
    <w:p w14:paraId="1BB518A6">
      <w:pPr>
        <w:pStyle w:val="107"/>
        <w:spacing w:before="156" w:after="156"/>
        <w:rPr>
          <w:color w:val="000000" w:themeColor="text1"/>
        </w:rPr>
      </w:pPr>
      <w:bookmarkStart w:id="74" w:name="_Toc185426271"/>
      <w:bookmarkStart w:id="75" w:name="_Toc182082974"/>
      <w:bookmarkStart w:id="76" w:name="_Toc185672255"/>
      <w:r>
        <w:rPr>
          <w:rFonts w:hint="eastAsia"/>
          <w:color w:val="000000" w:themeColor="text1"/>
        </w:rPr>
        <w:t>风险管控周期和流程</w:t>
      </w:r>
      <w:bookmarkEnd w:id="74"/>
      <w:bookmarkEnd w:id="75"/>
      <w:bookmarkEnd w:id="76"/>
    </w:p>
    <w:p w14:paraId="408E1F49">
      <w:pPr>
        <w:pStyle w:val="167"/>
        <w:rPr>
          <w:color w:val="000000" w:themeColor="text1"/>
        </w:rPr>
      </w:pPr>
      <w:r>
        <w:rPr>
          <w:color w:val="000000" w:themeColor="text1"/>
        </w:rPr>
        <w:t>每年至少开展一次风险管控工作。</w:t>
      </w:r>
    </w:p>
    <w:p w14:paraId="76C9C5E6">
      <w:pPr>
        <w:pStyle w:val="167"/>
        <w:rPr>
          <w:color w:val="000000" w:themeColor="text1"/>
        </w:rPr>
      </w:pPr>
      <w:r>
        <w:rPr>
          <w:rFonts w:hint="eastAsia"/>
          <w:color w:val="000000" w:themeColor="text1"/>
        </w:rPr>
        <w:t>风险管控流程见图1。</w:t>
      </w:r>
    </w:p>
    <w:p w14:paraId="1E95A486">
      <w:pPr>
        <w:pStyle w:val="58"/>
        <w:ind w:firstLine="420"/>
        <w:jc w:val="center"/>
        <w:rPr>
          <w:color w:val="000000" w:themeColor="text1"/>
        </w:rPr>
      </w:pPr>
      <w:r>
        <w:rPr>
          <w:color w:val="000000" w:themeColor="text1"/>
        </w:rPr>
        <w:drawing>
          <wp:inline distT="0" distB="0" distL="0" distR="0">
            <wp:extent cx="2130425" cy="3217545"/>
            <wp:effectExtent l="0" t="0" r="0" b="0"/>
            <wp:docPr id="2" name="图片 1" descr="C:/Users/niuchangjiani/AppData/Local/Temp/wps.ndCWLY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niuchangjiani/AppData/Local/Temp/wps.ndCWLYwps"/>
                    <pic:cNvPicPr>
                      <a:picLocks noChangeAspect="1"/>
                    </pic:cNvPicPr>
                  </pic:nvPicPr>
                  <pic:blipFill>
                    <a:blip r:embed="rId22" cstate="print"/>
                    <a:stretch>
                      <a:fillRect/>
                    </a:stretch>
                  </pic:blipFill>
                  <pic:spPr>
                    <a:xfrm>
                      <a:off x="0" y="0"/>
                      <a:ext cx="2130088" cy="3216692"/>
                    </a:xfrm>
                    <a:prstGeom prst="rect">
                      <a:avLst/>
                    </a:prstGeom>
                  </pic:spPr>
                </pic:pic>
              </a:graphicData>
            </a:graphic>
          </wp:inline>
        </w:drawing>
      </w:r>
    </w:p>
    <w:p w14:paraId="1D33C3B7">
      <w:pPr>
        <w:pStyle w:val="116"/>
        <w:spacing w:before="156" w:after="156"/>
        <w:ind w:firstLine="420"/>
        <w:rPr>
          <w:color w:val="000000" w:themeColor="text1"/>
        </w:rPr>
      </w:pPr>
      <w:r>
        <w:rPr>
          <w:rFonts w:hint="eastAsia"/>
          <w:color w:val="000000" w:themeColor="text1"/>
        </w:rPr>
        <w:t>风险管控流程图</w:t>
      </w:r>
    </w:p>
    <w:p w14:paraId="446F1506">
      <w:pPr>
        <w:pStyle w:val="107"/>
        <w:spacing w:before="156" w:after="156"/>
        <w:rPr>
          <w:color w:val="000000" w:themeColor="text1"/>
        </w:rPr>
      </w:pPr>
      <w:bookmarkStart w:id="77" w:name="_Toc185672256"/>
      <w:bookmarkStart w:id="78" w:name="_Toc182082975"/>
      <w:bookmarkStart w:id="79" w:name="_Toc185426272"/>
      <w:r>
        <w:rPr>
          <w:rFonts w:hint="eastAsia"/>
          <w:color w:val="000000" w:themeColor="text1"/>
        </w:rPr>
        <w:t>工作准备</w:t>
      </w:r>
      <w:bookmarkEnd w:id="77"/>
      <w:bookmarkEnd w:id="78"/>
      <w:bookmarkEnd w:id="79"/>
    </w:p>
    <w:p w14:paraId="01B35743">
      <w:pPr>
        <w:pStyle w:val="67"/>
        <w:spacing w:before="156" w:after="156"/>
        <w:rPr>
          <w:color w:val="000000" w:themeColor="text1"/>
        </w:rPr>
      </w:pPr>
      <w:bookmarkStart w:id="80" w:name="_Toc185426273"/>
      <w:bookmarkStart w:id="81" w:name="_Toc185672257"/>
      <w:bookmarkStart w:id="82" w:name="_Toc182082976"/>
      <w:r>
        <w:rPr>
          <w:rFonts w:hint="eastAsia"/>
          <w:color w:val="000000" w:themeColor="text1"/>
        </w:rPr>
        <w:t>资料收集</w:t>
      </w:r>
      <w:bookmarkEnd w:id="80"/>
      <w:bookmarkEnd w:id="81"/>
      <w:bookmarkEnd w:id="82"/>
      <w:r>
        <w:rPr>
          <w:rFonts w:hint="eastAsia"/>
          <w:color w:val="000000" w:themeColor="text1"/>
        </w:rPr>
        <w:t xml:space="preserve"> </w:t>
      </w:r>
    </w:p>
    <w:p w14:paraId="5E437AD8">
      <w:pPr>
        <w:pStyle w:val="58"/>
        <w:ind w:firstLine="420"/>
        <w:rPr>
          <w:color w:val="000000" w:themeColor="text1"/>
        </w:rPr>
      </w:pPr>
      <w:r>
        <w:rPr>
          <w:rFonts w:hint="eastAsia"/>
          <w:color w:val="000000" w:themeColor="text1"/>
        </w:rPr>
        <w:t>应搜集的资料包括但不限于：</w:t>
      </w:r>
    </w:p>
    <w:p w14:paraId="2A03C4F5">
      <w:pPr>
        <w:pStyle w:val="134"/>
        <w:rPr>
          <w:color w:val="000000" w:themeColor="text1"/>
        </w:rPr>
      </w:pPr>
      <w:r>
        <w:rPr>
          <w:rFonts w:hint="eastAsia"/>
          <w:color w:val="000000" w:themeColor="text1"/>
        </w:rPr>
        <w:t>与风险评价工作相关的</w:t>
      </w:r>
      <w:r>
        <w:rPr>
          <w:rFonts w:hint="eastAsia"/>
          <w:color w:val="000000" w:themeColor="text1"/>
          <w:lang w:eastAsia="zh-CN"/>
        </w:rPr>
        <w:t>法律法规</w:t>
      </w:r>
      <w:r>
        <w:rPr>
          <w:rFonts w:hint="eastAsia"/>
          <w:color w:val="000000" w:themeColor="text1"/>
        </w:rPr>
        <w:t xml:space="preserve">、规章、安全技术规范、标准、技术文件和政府文件等； </w:t>
      </w:r>
    </w:p>
    <w:p w14:paraId="06D033F2">
      <w:pPr>
        <w:pStyle w:val="134"/>
        <w:rPr>
          <w:color w:val="000000" w:themeColor="text1"/>
        </w:rPr>
      </w:pPr>
      <w:r>
        <w:rPr>
          <w:rFonts w:hint="eastAsia"/>
          <w:color w:val="000000" w:themeColor="text1"/>
        </w:rPr>
        <w:t xml:space="preserve">本单位规章制度、机构、岗位、人员、职责设置以及区位、布局与平面布置等资料； </w:t>
      </w:r>
    </w:p>
    <w:p w14:paraId="2382CF38">
      <w:pPr>
        <w:pStyle w:val="134"/>
        <w:rPr>
          <w:color w:val="000000" w:themeColor="text1"/>
        </w:rPr>
      </w:pPr>
      <w:r>
        <w:rPr>
          <w:rFonts w:hint="eastAsia"/>
          <w:color w:val="000000" w:themeColor="text1"/>
          <w:lang w:val="en-US" w:eastAsia="zh-CN"/>
        </w:rPr>
        <w:t>塔式起重机</w:t>
      </w:r>
      <w:r>
        <w:rPr>
          <w:rFonts w:hint="eastAsia"/>
          <w:color w:val="000000" w:themeColor="text1"/>
        </w:rPr>
        <w:t>应急救援预案；</w:t>
      </w:r>
    </w:p>
    <w:p w14:paraId="4C98C262">
      <w:pPr>
        <w:pStyle w:val="134"/>
        <w:rPr>
          <w:color w:val="000000" w:themeColor="text1"/>
        </w:rPr>
      </w:pPr>
      <w:r>
        <w:rPr>
          <w:rFonts w:hint="eastAsia"/>
          <w:color w:val="000000" w:themeColor="text1"/>
        </w:rPr>
        <w:t>近一年的《风险分级管控清单》和《隐患排查治理台账》；</w:t>
      </w:r>
    </w:p>
    <w:p w14:paraId="3E9CEF45">
      <w:pPr>
        <w:pStyle w:val="134"/>
        <w:rPr>
          <w:color w:val="000000" w:themeColor="text1"/>
        </w:rPr>
      </w:pPr>
      <w:r>
        <w:rPr>
          <w:rFonts w:hint="eastAsia"/>
          <w:color w:val="000000" w:themeColor="text1"/>
          <w:lang w:val="en-US" w:eastAsia="zh-CN"/>
        </w:rPr>
        <w:t>塔式起重机</w:t>
      </w:r>
      <w:r>
        <w:rPr>
          <w:rFonts w:hint="eastAsia"/>
          <w:color w:val="000000" w:themeColor="text1"/>
        </w:rPr>
        <w:t>事故资料。</w:t>
      </w:r>
    </w:p>
    <w:p w14:paraId="3FDB41D3">
      <w:pPr>
        <w:pStyle w:val="67"/>
        <w:spacing w:before="156" w:after="156"/>
        <w:rPr>
          <w:color w:val="000000" w:themeColor="text1"/>
        </w:rPr>
      </w:pPr>
      <w:bookmarkStart w:id="83" w:name="_Toc182082977"/>
      <w:bookmarkStart w:id="84" w:name="_Toc185672258"/>
      <w:bookmarkStart w:id="85" w:name="_Toc185426274"/>
      <w:r>
        <w:rPr>
          <w:rFonts w:hint="eastAsia"/>
          <w:color w:val="000000" w:themeColor="text1"/>
        </w:rPr>
        <w:t>现场调研</w:t>
      </w:r>
      <w:bookmarkEnd w:id="83"/>
      <w:bookmarkEnd w:id="84"/>
      <w:bookmarkEnd w:id="85"/>
      <w:r>
        <w:rPr>
          <w:rFonts w:hint="eastAsia"/>
          <w:color w:val="000000" w:themeColor="text1"/>
        </w:rPr>
        <w:t xml:space="preserve"> </w:t>
      </w:r>
    </w:p>
    <w:p w14:paraId="0511FBA1">
      <w:pPr>
        <w:pStyle w:val="58"/>
        <w:ind w:firstLine="420"/>
        <w:rPr>
          <w:color w:val="000000" w:themeColor="text1"/>
        </w:rPr>
      </w:pPr>
      <w:r>
        <w:rPr>
          <w:rFonts w:hint="eastAsia"/>
          <w:color w:val="000000" w:themeColor="text1"/>
        </w:rPr>
        <w:t>现场调研应包括：</w:t>
      </w:r>
    </w:p>
    <w:p w14:paraId="689F3E66">
      <w:pPr>
        <w:pStyle w:val="176"/>
        <w:numPr>
          <w:ilvl w:val="0"/>
          <w:numId w:val="32"/>
        </w:numPr>
        <w:rPr>
          <w:color w:val="000000" w:themeColor="text1"/>
        </w:rPr>
      </w:pPr>
      <w:r>
        <w:rPr>
          <w:rFonts w:hint="eastAsia"/>
          <w:color w:val="000000" w:themeColor="text1"/>
        </w:rPr>
        <w:t>使用环境情况；</w:t>
      </w:r>
    </w:p>
    <w:p w14:paraId="01CF0F45">
      <w:pPr>
        <w:pStyle w:val="176"/>
        <w:rPr>
          <w:color w:val="000000" w:themeColor="text1"/>
        </w:rPr>
      </w:pPr>
      <w:r>
        <w:rPr>
          <w:rFonts w:hint="eastAsia"/>
          <w:color w:val="000000" w:themeColor="text1"/>
        </w:rPr>
        <w:t>应急救援情况。</w:t>
      </w:r>
    </w:p>
    <w:p w14:paraId="1C317097">
      <w:pPr>
        <w:pStyle w:val="107"/>
        <w:spacing w:before="156" w:after="156"/>
        <w:rPr>
          <w:color w:val="000000" w:themeColor="text1"/>
        </w:rPr>
      </w:pPr>
      <w:bookmarkStart w:id="86" w:name="_Toc185426275"/>
      <w:bookmarkStart w:id="87" w:name="_Toc185672259"/>
      <w:bookmarkStart w:id="88" w:name="_Toc182082978"/>
      <w:r>
        <w:rPr>
          <w:rFonts w:hint="eastAsia"/>
          <w:color w:val="000000" w:themeColor="text1"/>
        </w:rPr>
        <w:t>风险辨识</w:t>
      </w:r>
      <w:bookmarkEnd w:id="86"/>
      <w:bookmarkEnd w:id="87"/>
      <w:bookmarkEnd w:id="88"/>
    </w:p>
    <w:p w14:paraId="66FD2460">
      <w:pPr>
        <w:pStyle w:val="67"/>
        <w:spacing w:before="156" w:after="156"/>
        <w:rPr>
          <w:color w:val="000000" w:themeColor="text1"/>
        </w:rPr>
      </w:pPr>
      <w:bookmarkStart w:id="89" w:name="_Toc185426276"/>
      <w:bookmarkStart w:id="90" w:name="_Toc185672260"/>
      <w:bookmarkStart w:id="91" w:name="_Toc182082979"/>
      <w:r>
        <w:rPr>
          <w:rFonts w:hint="eastAsia"/>
          <w:color w:val="000000" w:themeColor="text1"/>
        </w:rPr>
        <w:t>风险源辨识内容</w:t>
      </w:r>
      <w:bookmarkEnd w:id="89"/>
      <w:bookmarkEnd w:id="90"/>
      <w:bookmarkEnd w:id="91"/>
    </w:p>
    <w:p w14:paraId="346F940E">
      <w:pPr>
        <w:pStyle w:val="58"/>
        <w:ind w:firstLine="420"/>
        <w:rPr>
          <w:color w:val="000000" w:themeColor="text1"/>
        </w:rPr>
      </w:pPr>
      <w:r>
        <w:rPr>
          <w:rFonts w:hint="eastAsia" w:hAnsi="宋体"/>
          <w:color w:val="000000" w:themeColor="text1"/>
        </w:rPr>
        <w:t>使用单位应对</w:t>
      </w:r>
      <w:r>
        <w:rPr>
          <w:rFonts w:hint="eastAsia"/>
          <w:color w:val="000000" w:themeColor="text1"/>
          <w:lang w:val="en-US" w:eastAsia="zh-CN"/>
        </w:rPr>
        <w:t>塔式起重机</w:t>
      </w:r>
      <w:r>
        <w:rPr>
          <w:rFonts w:hint="eastAsia" w:hAnsi="宋体"/>
          <w:color w:val="000000" w:themeColor="text1"/>
        </w:rPr>
        <w:t>风险源进行辨识、确认和描述</w:t>
      </w:r>
      <w:r>
        <w:rPr>
          <w:rFonts w:hint="eastAsia"/>
          <w:color w:val="000000" w:themeColor="text1"/>
        </w:rPr>
        <w:t>，对电梯及其作业过程中存在的有害因素进行辨识，辨识范围应考虑人的因素、物的因素、环境因素和管理因素四个方面，其中：</w:t>
      </w:r>
    </w:p>
    <w:p w14:paraId="26ACD5EC">
      <w:pPr>
        <w:pStyle w:val="134"/>
        <w:rPr>
          <w:color w:val="000000" w:themeColor="text1"/>
        </w:rPr>
      </w:pPr>
      <w:r>
        <w:rPr>
          <w:rFonts w:hint="eastAsia"/>
          <w:color w:val="000000" w:themeColor="text1"/>
        </w:rPr>
        <w:t>人的因素应包括持证情况、安全培训、人员配置、人员健康状况，自行检测人员、维护保养人员等；</w:t>
      </w:r>
    </w:p>
    <w:p w14:paraId="2310E7A2">
      <w:pPr>
        <w:pStyle w:val="134"/>
        <w:rPr>
          <w:color w:val="000000" w:themeColor="text1"/>
        </w:rPr>
      </w:pPr>
      <w:r>
        <w:rPr>
          <w:rFonts w:hint="eastAsia"/>
          <w:color w:val="000000" w:themeColor="text1"/>
        </w:rPr>
        <w:t>物的因素应包括主电源开关、</w:t>
      </w:r>
      <w:r>
        <w:rPr>
          <w:rFonts w:hint="eastAsia"/>
          <w:color w:val="000000" w:themeColor="text1"/>
          <w:lang w:val="en-US" w:eastAsia="zh-CN"/>
        </w:rPr>
        <w:t>电动机</w:t>
      </w:r>
      <w:r>
        <w:rPr>
          <w:rFonts w:hint="eastAsia"/>
          <w:color w:val="000000" w:themeColor="text1"/>
        </w:rPr>
        <w:t>、控制柜、</w:t>
      </w:r>
      <w:r>
        <w:rPr>
          <w:rFonts w:hint="eastAsia"/>
          <w:color w:val="000000" w:themeColor="text1"/>
          <w:lang w:val="en-US" w:eastAsia="zh-CN"/>
        </w:rPr>
        <w:t>配</w:t>
      </w:r>
      <w:r>
        <w:rPr>
          <w:rFonts w:hint="eastAsia"/>
          <w:color w:val="000000" w:themeColor="text1"/>
        </w:rPr>
        <w:t>重、</w:t>
      </w:r>
      <w:r>
        <w:rPr>
          <w:rFonts w:hint="eastAsia"/>
          <w:color w:val="000000" w:themeColor="text1"/>
          <w:lang w:val="en-US" w:eastAsia="zh-CN"/>
        </w:rPr>
        <w:t>标准节、连接螺栓或销轴、</w:t>
      </w:r>
      <w:r>
        <w:rPr>
          <w:rFonts w:hint="eastAsia"/>
          <w:color w:val="000000" w:themeColor="text1"/>
        </w:rPr>
        <w:t>钢丝绳、</w:t>
      </w:r>
      <w:r>
        <w:rPr>
          <w:rFonts w:hint="eastAsia"/>
          <w:color w:val="000000" w:themeColor="text1"/>
          <w:lang w:val="en-US" w:eastAsia="zh-CN"/>
        </w:rPr>
        <w:t>起重量限制器</w:t>
      </w:r>
      <w:r>
        <w:rPr>
          <w:rFonts w:hint="eastAsia"/>
          <w:color w:val="000000" w:themeColor="text1"/>
        </w:rPr>
        <w:t>、</w:t>
      </w:r>
      <w:r>
        <w:rPr>
          <w:rFonts w:hint="eastAsia"/>
          <w:color w:val="000000" w:themeColor="text1"/>
          <w:lang w:val="en-US" w:eastAsia="zh-CN"/>
        </w:rPr>
        <w:t>起升高度限位器、幅度限位器、动臂变幅幅度限制装置、回转限位器、运行限位器、力矩限制器</w:t>
      </w:r>
      <w:r>
        <w:rPr>
          <w:rFonts w:hint="eastAsia"/>
          <w:color w:val="000000" w:themeColor="text1"/>
        </w:rPr>
        <w:t>、缓冲器</w:t>
      </w:r>
      <w:r>
        <w:rPr>
          <w:rFonts w:hint="eastAsia"/>
          <w:color w:val="000000" w:themeColor="text1"/>
          <w:lang w:val="en-US" w:eastAsia="zh-CN"/>
        </w:rPr>
        <w:t>、小车断绳保护装置、小车断轴保护装置、钢丝绳防脱装置、爬升装置防脱装置、安全监控管理系统</w:t>
      </w:r>
      <w:r>
        <w:rPr>
          <w:rFonts w:hint="eastAsia"/>
          <w:color w:val="000000" w:themeColor="text1"/>
        </w:rPr>
        <w:t xml:space="preserve">等设备使用运转情况； </w:t>
      </w:r>
    </w:p>
    <w:p w14:paraId="0CDD2784">
      <w:pPr>
        <w:pStyle w:val="134"/>
        <w:rPr>
          <w:color w:val="000000" w:themeColor="text1"/>
        </w:rPr>
      </w:pPr>
      <w:r>
        <w:rPr>
          <w:rFonts w:hint="eastAsia"/>
          <w:color w:val="000000" w:themeColor="text1"/>
        </w:rPr>
        <w:t>环境因素应包括</w:t>
      </w:r>
      <w:r>
        <w:rPr>
          <w:rFonts w:hint="eastAsia"/>
          <w:color w:val="000000" w:themeColor="text1"/>
          <w:lang w:val="en-US" w:eastAsia="zh-CN"/>
        </w:rPr>
        <w:t>周围</w:t>
      </w:r>
      <w:r>
        <w:rPr>
          <w:rFonts w:hint="eastAsia"/>
          <w:color w:val="000000" w:themeColor="text1"/>
        </w:rPr>
        <w:t>建筑物、</w:t>
      </w:r>
      <w:r>
        <w:rPr>
          <w:rFonts w:hint="eastAsia"/>
          <w:color w:val="000000" w:themeColor="text1"/>
          <w:lang w:val="en-US" w:eastAsia="zh-CN"/>
        </w:rPr>
        <w:t>其他塔式起重机</w:t>
      </w:r>
      <w:r>
        <w:rPr>
          <w:rFonts w:hint="eastAsia"/>
          <w:color w:val="000000" w:themeColor="text1"/>
        </w:rPr>
        <w:t>等因素，以及周边温度、湿度状况和腐蚀性环境等；</w:t>
      </w:r>
    </w:p>
    <w:p w14:paraId="1354F4A3">
      <w:pPr>
        <w:pStyle w:val="134"/>
        <w:rPr>
          <w:color w:val="000000" w:themeColor="text1"/>
        </w:rPr>
      </w:pPr>
      <w:r>
        <w:rPr>
          <w:rFonts w:hint="eastAsia"/>
          <w:color w:val="000000" w:themeColor="text1"/>
        </w:rPr>
        <w:t>管理因素应包括</w:t>
      </w:r>
      <w:r>
        <w:rPr>
          <w:rFonts w:hint="eastAsia"/>
          <w:color w:val="000000" w:themeColor="text1"/>
          <w:lang w:val="en-US" w:eastAsia="zh-CN"/>
        </w:rPr>
        <w:t>塔式起重机</w:t>
      </w:r>
      <w:r>
        <w:rPr>
          <w:rFonts w:hint="eastAsia"/>
          <w:color w:val="000000" w:themeColor="text1"/>
        </w:rPr>
        <w:t>安全管理机构、安全管理制度、应急预案、安全技术档案、维护保养管理等。</w:t>
      </w:r>
    </w:p>
    <w:p w14:paraId="1B5F4086">
      <w:pPr>
        <w:pStyle w:val="67"/>
        <w:spacing w:before="156" w:after="156"/>
        <w:rPr>
          <w:color w:val="000000" w:themeColor="text1"/>
        </w:rPr>
      </w:pPr>
      <w:bookmarkStart w:id="92" w:name="_Toc182082980"/>
      <w:bookmarkStart w:id="93" w:name="_Toc185426277"/>
      <w:bookmarkStart w:id="94" w:name="_Toc185672261"/>
      <w:r>
        <w:rPr>
          <w:rFonts w:hint="eastAsia"/>
          <w:color w:val="000000" w:themeColor="text1"/>
        </w:rPr>
        <w:t>风险源辨识方法</w:t>
      </w:r>
      <w:bookmarkEnd w:id="92"/>
      <w:bookmarkEnd w:id="93"/>
      <w:bookmarkEnd w:id="94"/>
    </w:p>
    <w:p w14:paraId="3F8A43CD">
      <w:pPr>
        <w:pStyle w:val="58"/>
        <w:ind w:firstLine="420"/>
        <w:rPr>
          <w:color w:val="000000" w:themeColor="text1"/>
        </w:rPr>
      </w:pPr>
      <w:r>
        <w:rPr>
          <w:rFonts w:hint="eastAsia"/>
          <w:color w:val="000000" w:themeColor="text1"/>
        </w:rPr>
        <w:t>使用单位可参考以下流程进行风险源辨识：</w:t>
      </w:r>
    </w:p>
    <w:p w14:paraId="4C2C45D6">
      <w:pPr>
        <w:pStyle w:val="134"/>
        <w:rPr>
          <w:color w:val="000000" w:themeColor="text1"/>
        </w:rPr>
      </w:pPr>
      <w:r>
        <w:rPr>
          <w:rFonts w:hint="eastAsia"/>
          <w:color w:val="000000" w:themeColor="text1"/>
          <w:lang w:val="en-US" w:eastAsia="zh-CN"/>
        </w:rPr>
        <w:t>塔式起重机</w:t>
      </w:r>
      <w:r>
        <w:rPr>
          <w:rFonts w:hint="eastAsia"/>
          <w:color w:val="000000" w:themeColor="text1"/>
        </w:rPr>
        <w:t>安全总监、</w:t>
      </w:r>
      <w:r>
        <w:rPr>
          <w:rFonts w:hint="eastAsia"/>
          <w:color w:val="000000" w:themeColor="text1"/>
          <w:lang w:val="en-US" w:eastAsia="zh-CN"/>
        </w:rPr>
        <w:t>塔式起重机</w:t>
      </w:r>
      <w:r>
        <w:rPr>
          <w:rFonts w:hint="eastAsia"/>
          <w:color w:val="000000" w:themeColor="text1"/>
        </w:rPr>
        <w:t>安全员、维保人员等组成辨识小组；</w:t>
      </w:r>
    </w:p>
    <w:p w14:paraId="36A062D5">
      <w:pPr>
        <w:pStyle w:val="134"/>
        <w:rPr>
          <w:color w:val="000000" w:themeColor="text1"/>
        </w:rPr>
      </w:pPr>
      <w:r>
        <w:rPr>
          <w:rFonts w:hint="eastAsia"/>
          <w:color w:val="000000" w:themeColor="text1"/>
        </w:rPr>
        <w:t xml:space="preserve">采用安全检查表分析法（SCL）； </w:t>
      </w:r>
    </w:p>
    <w:p w14:paraId="5CBAEB74">
      <w:pPr>
        <w:pStyle w:val="134"/>
        <w:rPr>
          <w:color w:val="000000" w:themeColor="text1"/>
        </w:rPr>
      </w:pPr>
      <w:r>
        <w:rPr>
          <w:rFonts w:hint="eastAsia"/>
          <w:color w:val="000000" w:themeColor="text1"/>
        </w:rPr>
        <w:t>结合单位实际状况，对风险源（危害因素）进行分类辨识、风险评价。</w:t>
      </w:r>
    </w:p>
    <w:p w14:paraId="20F46596">
      <w:pPr>
        <w:pStyle w:val="107"/>
        <w:spacing w:before="156" w:after="156"/>
        <w:rPr>
          <w:color w:val="000000" w:themeColor="text1"/>
        </w:rPr>
      </w:pPr>
      <w:bookmarkStart w:id="95" w:name="_Toc182082981"/>
      <w:bookmarkStart w:id="96" w:name="_Toc185672262"/>
      <w:bookmarkStart w:id="97" w:name="_Toc185426278"/>
      <w:r>
        <w:rPr>
          <w:rFonts w:hint="eastAsia"/>
          <w:color w:val="000000" w:themeColor="text1"/>
        </w:rPr>
        <w:t>风险评价</w:t>
      </w:r>
      <w:bookmarkEnd w:id="95"/>
      <w:bookmarkEnd w:id="96"/>
      <w:bookmarkEnd w:id="97"/>
    </w:p>
    <w:p w14:paraId="44DA45D9">
      <w:pPr>
        <w:pStyle w:val="167"/>
        <w:rPr>
          <w:color w:val="000000" w:themeColor="text1"/>
        </w:rPr>
      </w:pPr>
      <w:r>
        <w:rPr>
          <w:rFonts w:hint="eastAsia"/>
          <w:color w:val="000000" w:themeColor="text1"/>
        </w:rPr>
        <w:t>使用单位应结合实际情况，根据</w:t>
      </w:r>
      <w:r>
        <w:rPr>
          <w:rFonts w:hint="eastAsia"/>
          <w:color w:val="000000" w:themeColor="text1"/>
          <w:lang w:eastAsia="zh-CN"/>
        </w:rPr>
        <w:t>人员</w:t>
      </w:r>
      <w:r>
        <w:rPr>
          <w:rFonts w:hint="eastAsia"/>
          <w:color w:val="000000" w:themeColor="text1"/>
        </w:rPr>
        <w:t>、设备和财产等三方面存在的事故发生可能性和后果严重程度的影响，对辨识出的风险源进行风险评价，确定其风险等级，并建立《安全分析评价记录表》（见附录A）。</w:t>
      </w:r>
    </w:p>
    <w:p w14:paraId="3017BB5C">
      <w:pPr>
        <w:pStyle w:val="167"/>
        <w:rPr>
          <w:color w:val="000000" w:themeColor="text1"/>
        </w:rPr>
      </w:pPr>
      <w:r>
        <w:rPr>
          <w:rFonts w:hint="eastAsia"/>
          <w:color w:val="000000" w:themeColor="text1"/>
        </w:rPr>
        <w:t>风险评价具体方法可采用“风险矩阵（LS）评价法”。</w:t>
      </w:r>
    </w:p>
    <w:p w14:paraId="1FA27451">
      <w:pPr>
        <w:pStyle w:val="181"/>
        <w:rPr>
          <w:color w:val="000000" w:themeColor="text1"/>
        </w:rPr>
      </w:pPr>
      <w:r>
        <w:rPr>
          <w:rFonts w:hint="eastAsia"/>
          <w:color w:val="000000" w:themeColor="text1"/>
        </w:rPr>
        <w:t>R=L×S（R：风险值，L：发生伤害的可能性，S:发生伤害后果的严重程度。</w:t>
      </w:r>
    </w:p>
    <w:p w14:paraId="16583B22">
      <w:pPr>
        <w:pStyle w:val="167"/>
        <w:rPr>
          <w:color w:val="000000" w:themeColor="text1"/>
          <w:kern w:val="2"/>
        </w:rPr>
      </w:pPr>
      <w:r>
        <w:rPr>
          <w:rFonts w:hint="eastAsia"/>
          <w:color w:val="000000" w:themeColor="text1"/>
          <w:lang w:val="en-US" w:eastAsia="zh-CN"/>
        </w:rPr>
        <w:t>塔式起重机</w:t>
      </w:r>
      <w:r>
        <w:rPr>
          <w:rFonts w:hint="eastAsia"/>
          <w:color w:val="000000" w:themeColor="text1"/>
          <w:kern w:val="2"/>
        </w:rPr>
        <w:t>风险等级是以本台</w:t>
      </w:r>
      <w:r>
        <w:rPr>
          <w:rFonts w:hint="eastAsia"/>
          <w:color w:val="000000" w:themeColor="text1"/>
          <w:lang w:val="en-US" w:eastAsia="zh-CN"/>
        </w:rPr>
        <w:t>塔式起重机</w:t>
      </w:r>
      <w:r>
        <w:rPr>
          <w:rFonts w:hint="eastAsia"/>
          <w:color w:val="000000" w:themeColor="text1"/>
          <w:kern w:val="2"/>
        </w:rPr>
        <w:t>的全部风险源中辨识结果最高的等级确定，风险等级按从高到低分为4级：1级、2级、3级、4级。</w:t>
      </w:r>
    </w:p>
    <w:p w14:paraId="3B9479FD">
      <w:pPr>
        <w:pStyle w:val="107"/>
        <w:spacing w:before="156" w:after="156"/>
        <w:rPr>
          <w:color w:val="000000" w:themeColor="text1"/>
        </w:rPr>
      </w:pPr>
      <w:bookmarkStart w:id="98" w:name="_Toc185426279"/>
      <w:bookmarkStart w:id="99" w:name="_Toc182082983"/>
      <w:bookmarkStart w:id="100" w:name="_Toc185672263"/>
      <w:r>
        <w:rPr>
          <w:rFonts w:hint="eastAsia"/>
          <w:color w:val="000000" w:themeColor="text1"/>
        </w:rPr>
        <w:t>风险控制</w:t>
      </w:r>
      <w:bookmarkEnd w:id="98"/>
      <w:bookmarkEnd w:id="99"/>
      <w:bookmarkEnd w:id="100"/>
    </w:p>
    <w:p w14:paraId="0EED45B0">
      <w:pPr>
        <w:pStyle w:val="167"/>
        <w:rPr>
          <w:color w:val="000000" w:themeColor="text1"/>
        </w:rPr>
      </w:pPr>
      <w:r>
        <w:rPr>
          <w:rFonts w:hint="eastAsia"/>
          <w:color w:val="000000" w:themeColor="text1"/>
        </w:rPr>
        <w:t>技术措施包括：</w:t>
      </w:r>
    </w:p>
    <w:p w14:paraId="0844C992">
      <w:pPr>
        <w:pStyle w:val="134"/>
        <w:rPr>
          <w:color w:val="000000" w:themeColor="text1"/>
        </w:rPr>
      </w:pPr>
      <w:r>
        <w:rPr>
          <w:rFonts w:hint="eastAsia"/>
          <w:color w:val="000000" w:themeColor="text1"/>
        </w:rPr>
        <w:t>安全保护装置应符合GB</w:t>
      </w:r>
      <w:r>
        <w:rPr>
          <w:rFonts w:hint="eastAsia"/>
          <w:color w:val="000000" w:themeColor="text1"/>
          <w:lang w:val="en-US" w:eastAsia="zh-CN"/>
        </w:rPr>
        <w:t xml:space="preserve"> 5144-2006</w:t>
      </w:r>
      <w:r>
        <w:rPr>
          <w:rFonts w:hint="eastAsia"/>
          <w:color w:val="000000" w:themeColor="text1"/>
        </w:rPr>
        <w:t>的要求；</w:t>
      </w:r>
    </w:p>
    <w:p w14:paraId="6C033907">
      <w:pPr>
        <w:pStyle w:val="134"/>
        <w:rPr>
          <w:color w:val="000000" w:themeColor="text1"/>
        </w:rPr>
      </w:pPr>
      <w:r>
        <w:rPr>
          <w:rFonts w:hint="eastAsia"/>
          <w:color w:val="000000" w:themeColor="text1"/>
        </w:rPr>
        <w:t>设置警示标识、警示用语</w:t>
      </w:r>
      <w:r>
        <w:rPr>
          <w:rFonts w:hint="eastAsia"/>
          <w:color w:val="000000" w:themeColor="text1"/>
          <w:lang w:eastAsia="zh-CN"/>
        </w:rPr>
        <w:t>，</w:t>
      </w:r>
      <w:r>
        <w:rPr>
          <w:rFonts w:hint="eastAsia"/>
          <w:color w:val="000000" w:themeColor="text1"/>
        </w:rPr>
        <w:t>提高安全意识；</w:t>
      </w:r>
    </w:p>
    <w:p w14:paraId="7EBEE613">
      <w:pPr>
        <w:pStyle w:val="134"/>
        <w:rPr>
          <w:color w:val="000000" w:themeColor="text1"/>
        </w:rPr>
      </w:pPr>
      <w:r>
        <w:rPr>
          <w:rFonts w:hint="eastAsia"/>
          <w:color w:val="000000" w:themeColor="text1"/>
        </w:rPr>
        <w:t>设置视频监控设施、物联网监测等技术手段；</w:t>
      </w:r>
    </w:p>
    <w:p w14:paraId="0833E55F">
      <w:pPr>
        <w:pStyle w:val="134"/>
        <w:rPr>
          <w:color w:val="000000" w:themeColor="text1"/>
        </w:rPr>
      </w:pPr>
      <w:r>
        <w:rPr>
          <w:rFonts w:hint="eastAsia"/>
          <w:color w:val="000000" w:themeColor="text1"/>
        </w:rPr>
        <w:t>加强对维保单位的监督，保证维保质量；</w:t>
      </w:r>
    </w:p>
    <w:p w14:paraId="2DA48E05">
      <w:pPr>
        <w:pStyle w:val="134"/>
        <w:rPr>
          <w:color w:val="000000" w:themeColor="text1"/>
        </w:rPr>
      </w:pPr>
      <w:r>
        <w:rPr>
          <w:rFonts w:hint="eastAsia"/>
          <w:color w:val="000000" w:themeColor="text1"/>
        </w:rPr>
        <w:t>定期维护保养。</w:t>
      </w:r>
    </w:p>
    <w:p w14:paraId="2D4AA6D5">
      <w:pPr>
        <w:pStyle w:val="167"/>
        <w:rPr>
          <w:color w:val="000000" w:themeColor="text1"/>
        </w:rPr>
      </w:pPr>
      <w:r>
        <w:rPr>
          <w:rFonts w:hint="eastAsia"/>
          <w:color w:val="000000" w:themeColor="text1"/>
        </w:rPr>
        <w:t>管理措施包括：</w:t>
      </w:r>
    </w:p>
    <w:p w14:paraId="785F8989">
      <w:pPr>
        <w:pStyle w:val="134"/>
        <w:rPr>
          <w:color w:val="000000" w:themeColor="text1"/>
        </w:rPr>
      </w:pPr>
      <w:r>
        <w:rPr>
          <w:rFonts w:hint="eastAsia"/>
          <w:color w:val="000000" w:themeColor="text1"/>
        </w:rPr>
        <w:t>建立健全各种安全管理制度，明确人员职责；</w:t>
      </w:r>
    </w:p>
    <w:p w14:paraId="6B28D970">
      <w:pPr>
        <w:pStyle w:val="134"/>
        <w:rPr>
          <w:color w:val="000000" w:themeColor="text1"/>
        </w:rPr>
      </w:pPr>
      <w:r>
        <w:rPr>
          <w:rFonts w:hint="eastAsia"/>
          <w:color w:val="000000" w:themeColor="text1"/>
        </w:rPr>
        <w:t>定期组织风险辨识和隐患排查治理；</w:t>
      </w:r>
    </w:p>
    <w:p w14:paraId="7D7D0711">
      <w:pPr>
        <w:pStyle w:val="134"/>
        <w:rPr>
          <w:color w:val="000000" w:themeColor="text1"/>
        </w:rPr>
      </w:pPr>
      <w:r>
        <w:rPr>
          <w:rFonts w:hint="eastAsia"/>
          <w:color w:val="000000" w:themeColor="text1"/>
        </w:rPr>
        <w:t>配备足够数量的</w:t>
      </w:r>
      <w:r>
        <w:rPr>
          <w:rFonts w:hint="eastAsia"/>
          <w:color w:val="000000" w:themeColor="text1"/>
          <w:lang w:val="en-US" w:eastAsia="zh-CN"/>
        </w:rPr>
        <w:t>塔式起重机</w:t>
      </w:r>
      <w:r>
        <w:rPr>
          <w:rFonts w:hint="eastAsia"/>
          <w:color w:val="000000" w:themeColor="text1"/>
        </w:rPr>
        <w:t>安全员；</w:t>
      </w:r>
    </w:p>
    <w:p w14:paraId="7A45BD10">
      <w:pPr>
        <w:pStyle w:val="134"/>
        <w:rPr>
          <w:color w:val="000000" w:themeColor="text1"/>
        </w:rPr>
      </w:pPr>
      <w:r>
        <w:rPr>
          <w:rFonts w:hint="eastAsia"/>
          <w:color w:val="000000" w:themeColor="text1"/>
        </w:rPr>
        <w:t>相关人员培训考核合格后方可上岗；</w:t>
      </w:r>
    </w:p>
    <w:p w14:paraId="1A10B863">
      <w:pPr>
        <w:pStyle w:val="134"/>
        <w:rPr>
          <w:color w:val="000000" w:themeColor="text1"/>
        </w:rPr>
      </w:pPr>
      <w:r>
        <w:rPr>
          <w:rFonts w:hint="eastAsia"/>
          <w:color w:val="000000" w:themeColor="text1"/>
        </w:rPr>
        <w:t>停用；</w:t>
      </w:r>
    </w:p>
    <w:p w14:paraId="6BD537C4">
      <w:pPr>
        <w:pStyle w:val="134"/>
        <w:rPr>
          <w:color w:val="000000" w:themeColor="text1"/>
        </w:rPr>
      </w:pPr>
      <w:r>
        <w:rPr>
          <w:rFonts w:hint="eastAsia"/>
          <w:color w:val="000000" w:themeColor="text1"/>
        </w:rPr>
        <w:t>申请定期检验或开展自行检测。</w:t>
      </w:r>
    </w:p>
    <w:p w14:paraId="4E9B0ADE">
      <w:pPr>
        <w:pStyle w:val="167"/>
        <w:rPr>
          <w:color w:val="000000" w:themeColor="text1"/>
        </w:rPr>
      </w:pPr>
      <w:r>
        <w:rPr>
          <w:rFonts w:hint="eastAsia"/>
          <w:color w:val="000000" w:themeColor="text1"/>
        </w:rPr>
        <w:t>培训教育措施包括：</w:t>
      </w:r>
    </w:p>
    <w:p w14:paraId="0AE512C4">
      <w:pPr>
        <w:pStyle w:val="134"/>
        <w:rPr>
          <w:color w:val="000000" w:themeColor="text1"/>
        </w:rPr>
      </w:pPr>
      <w:r>
        <w:rPr>
          <w:rFonts w:hint="eastAsia"/>
          <w:color w:val="000000" w:themeColor="text1"/>
        </w:rPr>
        <w:t>法律法规培训；</w:t>
      </w:r>
    </w:p>
    <w:p w14:paraId="4215593C">
      <w:pPr>
        <w:pStyle w:val="134"/>
        <w:rPr>
          <w:color w:val="000000" w:themeColor="text1"/>
        </w:rPr>
      </w:pPr>
      <w:r>
        <w:rPr>
          <w:rFonts w:hint="eastAsia"/>
          <w:color w:val="000000" w:themeColor="text1"/>
        </w:rPr>
        <w:t>相关安全技术规范、标准更新发布后，参加学习培训；</w:t>
      </w:r>
    </w:p>
    <w:p w14:paraId="7796C30B">
      <w:pPr>
        <w:pStyle w:val="134"/>
        <w:rPr>
          <w:color w:val="000000" w:themeColor="text1"/>
        </w:rPr>
      </w:pPr>
      <w:r>
        <w:rPr>
          <w:rFonts w:hint="eastAsia"/>
          <w:color w:val="000000" w:themeColor="text1"/>
        </w:rPr>
        <w:t>员工岗前培训；</w:t>
      </w:r>
    </w:p>
    <w:p w14:paraId="1ED2DA25">
      <w:pPr>
        <w:pStyle w:val="134"/>
        <w:rPr>
          <w:color w:val="000000" w:themeColor="text1"/>
        </w:rPr>
      </w:pPr>
      <w:r>
        <w:rPr>
          <w:rFonts w:hint="eastAsia"/>
          <w:color w:val="000000" w:themeColor="text1"/>
        </w:rPr>
        <w:t>持证人员继续教育；</w:t>
      </w:r>
    </w:p>
    <w:p w14:paraId="6B65886E">
      <w:pPr>
        <w:pStyle w:val="134"/>
        <w:rPr>
          <w:color w:val="000000" w:themeColor="text1"/>
        </w:rPr>
      </w:pPr>
      <w:r>
        <w:rPr>
          <w:rFonts w:hint="eastAsia"/>
          <w:color w:val="000000" w:themeColor="text1"/>
        </w:rPr>
        <w:t>风险防控培训；</w:t>
      </w:r>
    </w:p>
    <w:p w14:paraId="50154DD8">
      <w:pPr>
        <w:pStyle w:val="134"/>
        <w:rPr>
          <w:color w:val="000000" w:themeColor="text1"/>
        </w:rPr>
      </w:pPr>
      <w:r>
        <w:rPr>
          <w:rFonts w:hint="eastAsia"/>
          <w:color w:val="000000" w:themeColor="text1"/>
        </w:rPr>
        <w:t>其他方面培训。</w:t>
      </w:r>
    </w:p>
    <w:p w14:paraId="1F3F11DF">
      <w:pPr>
        <w:pStyle w:val="167"/>
        <w:rPr>
          <w:color w:val="000000" w:themeColor="text1"/>
        </w:rPr>
      </w:pPr>
      <w:r>
        <w:rPr>
          <w:rFonts w:hint="eastAsia"/>
          <w:color w:val="000000" w:themeColor="text1"/>
        </w:rPr>
        <w:t>个体防护措施包括：</w:t>
      </w:r>
    </w:p>
    <w:p w14:paraId="5295D0FF">
      <w:pPr>
        <w:pStyle w:val="134"/>
        <w:rPr>
          <w:color w:val="000000" w:themeColor="text1"/>
        </w:rPr>
      </w:pPr>
      <w:r>
        <w:rPr>
          <w:rFonts w:hint="eastAsia"/>
          <w:color w:val="000000" w:themeColor="text1"/>
        </w:rPr>
        <w:t>发放劳保用品；</w:t>
      </w:r>
    </w:p>
    <w:p w14:paraId="4A82C36A">
      <w:pPr>
        <w:pStyle w:val="134"/>
        <w:rPr>
          <w:color w:val="000000" w:themeColor="text1"/>
        </w:rPr>
      </w:pPr>
      <w:r>
        <w:rPr>
          <w:rFonts w:hint="eastAsia"/>
          <w:color w:val="000000" w:themeColor="text1"/>
        </w:rPr>
        <w:t>组织安全防护知识技能培训；</w:t>
      </w:r>
    </w:p>
    <w:p w14:paraId="7AB051C6">
      <w:pPr>
        <w:pStyle w:val="134"/>
        <w:rPr>
          <w:color w:val="000000" w:themeColor="text1"/>
        </w:rPr>
      </w:pPr>
      <w:r>
        <w:rPr>
          <w:rFonts w:hint="eastAsia"/>
          <w:color w:val="000000" w:themeColor="text1"/>
        </w:rPr>
        <w:t>定期（每年至少一次）组织员工开展职业健康体检。</w:t>
      </w:r>
    </w:p>
    <w:p w14:paraId="3CCD69C2">
      <w:pPr>
        <w:pStyle w:val="167"/>
        <w:rPr>
          <w:color w:val="000000" w:themeColor="text1"/>
        </w:rPr>
      </w:pPr>
      <w:r>
        <w:rPr>
          <w:rFonts w:hint="eastAsia"/>
          <w:color w:val="000000" w:themeColor="text1"/>
        </w:rPr>
        <w:t>应急措施包括：</w:t>
      </w:r>
    </w:p>
    <w:p w14:paraId="08793A1D">
      <w:pPr>
        <w:pStyle w:val="134"/>
        <w:rPr>
          <w:color w:val="000000" w:themeColor="text1"/>
        </w:rPr>
      </w:pPr>
      <w:r>
        <w:rPr>
          <w:rFonts w:hint="eastAsia"/>
          <w:color w:val="000000" w:themeColor="text1"/>
        </w:rPr>
        <w:t>制定</w:t>
      </w:r>
      <w:r>
        <w:rPr>
          <w:rFonts w:hint="eastAsia"/>
          <w:color w:val="000000" w:themeColor="text1"/>
          <w:lang w:val="en-US" w:eastAsia="zh-CN"/>
        </w:rPr>
        <w:t>塔式起重机</w:t>
      </w:r>
      <w:r>
        <w:rPr>
          <w:rFonts w:hint="eastAsia"/>
          <w:color w:val="000000" w:themeColor="text1"/>
        </w:rPr>
        <w:t>应急救援专项预案，定期组织演练；</w:t>
      </w:r>
    </w:p>
    <w:p w14:paraId="7F09D9B2">
      <w:pPr>
        <w:pStyle w:val="134"/>
        <w:rPr>
          <w:color w:val="000000" w:themeColor="text1"/>
        </w:rPr>
      </w:pPr>
      <w:r>
        <w:rPr>
          <w:rFonts w:hint="eastAsia"/>
          <w:color w:val="000000" w:themeColor="text1"/>
        </w:rPr>
        <w:t>根据需要建立备品备件库。</w:t>
      </w:r>
    </w:p>
    <w:p w14:paraId="27CB24BC">
      <w:pPr>
        <w:pStyle w:val="107"/>
        <w:spacing w:before="156" w:after="156"/>
        <w:rPr>
          <w:color w:val="000000" w:themeColor="text1"/>
        </w:rPr>
      </w:pPr>
      <w:bookmarkStart w:id="101" w:name="_Toc185426280"/>
      <w:bookmarkStart w:id="102" w:name="_Toc185672264"/>
      <w:bookmarkStart w:id="103" w:name="_Toc182082984"/>
      <w:r>
        <w:rPr>
          <w:rFonts w:hint="eastAsia"/>
          <w:color w:val="000000" w:themeColor="text1"/>
        </w:rPr>
        <w:t>分级管控</w:t>
      </w:r>
      <w:bookmarkEnd w:id="101"/>
      <w:bookmarkEnd w:id="102"/>
      <w:bookmarkEnd w:id="103"/>
    </w:p>
    <w:p w14:paraId="144D596F">
      <w:pPr>
        <w:pStyle w:val="67"/>
        <w:spacing w:before="156" w:after="156"/>
        <w:rPr>
          <w:color w:val="000000" w:themeColor="text1"/>
        </w:rPr>
      </w:pPr>
      <w:bookmarkStart w:id="104" w:name="_Toc182082985"/>
      <w:bookmarkStart w:id="105" w:name="_Toc185672265"/>
      <w:bookmarkStart w:id="106" w:name="_Toc185426281"/>
      <w:r>
        <w:rPr>
          <w:rFonts w:hint="eastAsia"/>
          <w:color w:val="000000" w:themeColor="text1"/>
        </w:rPr>
        <w:t>风险分级</w:t>
      </w:r>
      <w:bookmarkEnd w:id="104"/>
      <w:bookmarkEnd w:id="105"/>
      <w:bookmarkEnd w:id="106"/>
    </w:p>
    <w:p w14:paraId="185E747E">
      <w:pPr>
        <w:pStyle w:val="58"/>
        <w:ind w:firstLine="420"/>
        <w:rPr>
          <w:color w:val="000000" w:themeColor="text1"/>
        </w:rPr>
      </w:pPr>
      <w:r>
        <w:rPr>
          <w:rFonts w:hint="eastAsia"/>
          <w:color w:val="000000" w:themeColor="text1"/>
        </w:rPr>
        <w:t>使用单位根据确定的评价方法与风险判定准则进行风险评价分级后，按照表1规定的对应原则，划分为重大风险、较大风险、一般风险和低风险，分别用“红、橙、黄、蓝”四种颜色表示，实施分级管控。</w:t>
      </w:r>
    </w:p>
    <w:p w14:paraId="01D04448">
      <w:pPr>
        <w:pStyle w:val="114"/>
        <w:spacing w:before="156" w:after="156"/>
        <w:rPr>
          <w:color w:val="000000" w:themeColor="text1"/>
        </w:rPr>
      </w:pPr>
      <w:r>
        <w:rPr>
          <w:rFonts w:hint="eastAsia"/>
          <w:color w:val="000000" w:themeColor="text1"/>
        </w:rPr>
        <w:t>风险等级对照表</w:t>
      </w:r>
    </w:p>
    <w:tbl>
      <w:tblPr>
        <w:tblStyle w:val="28"/>
        <w:tblW w:w="807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05"/>
        <w:gridCol w:w="1545"/>
        <w:gridCol w:w="1575"/>
        <w:gridCol w:w="1475"/>
        <w:gridCol w:w="1475"/>
      </w:tblGrid>
      <w:tr w14:paraId="6262E8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005" w:type="dxa"/>
            <w:tcBorders>
              <w:top w:val="single" w:color="auto" w:sz="8" w:space="0"/>
              <w:left w:val="single" w:color="auto" w:sz="8" w:space="0"/>
              <w:bottom w:val="single" w:color="auto" w:sz="4" w:space="0"/>
              <w:right w:val="single" w:color="auto" w:sz="4" w:space="0"/>
            </w:tcBorders>
            <w:vAlign w:val="center"/>
          </w:tcPr>
          <w:p w14:paraId="39EC053C">
            <w:pPr>
              <w:jc w:val="center"/>
              <w:rPr>
                <w:rFonts w:ascii="宋体" w:hAnsi="宋体"/>
                <w:color w:val="000000" w:themeColor="text1"/>
                <w:sz w:val="18"/>
                <w:szCs w:val="18"/>
              </w:rPr>
            </w:pPr>
            <w:r>
              <w:rPr>
                <w:rFonts w:hint="eastAsia" w:ascii="宋体" w:hAnsi="宋体"/>
                <w:color w:val="000000" w:themeColor="text1"/>
                <w:sz w:val="18"/>
                <w:szCs w:val="18"/>
              </w:rPr>
              <w:t>级别划分</w:t>
            </w:r>
          </w:p>
        </w:tc>
        <w:tc>
          <w:tcPr>
            <w:tcW w:w="1545" w:type="dxa"/>
            <w:tcBorders>
              <w:top w:val="single" w:color="auto" w:sz="8" w:space="0"/>
              <w:left w:val="single" w:color="auto" w:sz="4" w:space="0"/>
              <w:bottom w:val="single" w:color="auto" w:sz="4" w:space="0"/>
              <w:right w:val="single" w:color="auto" w:sz="4" w:space="0"/>
            </w:tcBorders>
            <w:vAlign w:val="center"/>
          </w:tcPr>
          <w:p w14:paraId="73A8BD79">
            <w:pPr>
              <w:jc w:val="center"/>
              <w:rPr>
                <w:rFonts w:ascii="宋体" w:hAnsi="宋体"/>
                <w:color w:val="000000" w:themeColor="text1"/>
                <w:sz w:val="18"/>
                <w:szCs w:val="18"/>
              </w:rPr>
            </w:pPr>
            <w:r>
              <w:rPr>
                <w:rFonts w:hint="eastAsia" w:ascii="宋体" w:hAnsi="宋体"/>
                <w:color w:val="000000" w:themeColor="text1"/>
                <w:sz w:val="18"/>
                <w:szCs w:val="18"/>
              </w:rPr>
              <w:t>重大风险</w:t>
            </w:r>
          </w:p>
        </w:tc>
        <w:tc>
          <w:tcPr>
            <w:tcW w:w="1575" w:type="dxa"/>
            <w:tcBorders>
              <w:top w:val="single" w:color="auto" w:sz="8" w:space="0"/>
              <w:left w:val="single" w:color="auto" w:sz="4" w:space="0"/>
              <w:bottom w:val="single" w:color="auto" w:sz="4" w:space="0"/>
              <w:right w:val="single" w:color="auto" w:sz="4" w:space="0"/>
            </w:tcBorders>
            <w:vAlign w:val="center"/>
          </w:tcPr>
          <w:p w14:paraId="09D1ED71">
            <w:pPr>
              <w:jc w:val="center"/>
              <w:rPr>
                <w:rFonts w:ascii="宋体" w:hAnsi="宋体"/>
                <w:color w:val="000000" w:themeColor="text1"/>
                <w:sz w:val="18"/>
                <w:szCs w:val="18"/>
              </w:rPr>
            </w:pPr>
            <w:r>
              <w:rPr>
                <w:rFonts w:hint="eastAsia" w:ascii="宋体" w:hAnsi="宋体"/>
                <w:color w:val="000000" w:themeColor="text1"/>
                <w:sz w:val="18"/>
                <w:szCs w:val="18"/>
              </w:rPr>
              <w:t>较大风险</w:t>
            </w:r>
          </w:p>
        </w:tc>
        <w:tc>
          <w:tcPr>
            <w:tcW w:w="1475" w:type="dxa"/>
            <w:tcBorders>
              <w:top w:val="single" w:color="auto" w:sz="8" w:space="0"/>
              <w:left w:val="single" w:color="auto" w:sz="4" w:space="0"/>
              <w:bottom w:val="single" w:color="auto" w:sz="4" w:space="0"/>
              <w:right w:val="single" w:color="auto" w:sz="4" w:space="0"/>
            </w:tcBorders>
            <w:vAlign w:val="center"/>
          </w:tcPr>
          <w:p w14:paraId="62ED1C62">
            <w:pPr>
              <w:jc w:val="center"/>
              <w:rPr>
                <w:rFonts w:ascii="宋体" w:hAnsi="宋体"/>
                <w:color w:val="000000" w:themeColor="text1"/>
                <w:sz w:val="18"/>
                <w:szCs w:val="18"/>
              </w:rPr>
            </w:pPr>
            <w:r>
              <w:rPr>
                <w:rFonts w:hint="eastAsia" w:ascii="宋体" w:hAnsi="宋体"/>
                <w:color w:val="000000" w:themeColor="text1"/>
                <w:sz w:val="18"/>
                <w:szCs w:val="18"/>
              </w:rPr>
              <w:t>一般风险</w:t>
            </w:r>
          </w:p>
        </w:tc>
        <w:tc>
          <w:tcPr>
            <w:tcW w:w="1475" w:type="dxa"/>
            <w:tcBorders>
              <w:top w:val="single" w:color="auto" w:sz="8" w:space="0"/>
              <w:left w:val="single" w:color="auto" w:sz="4" w:space="0"/>
              <w:bottom w:val="single" w:color="auto" w:sz="4" w:space="0"/>
              <w:right w:val="single" w:color="auto" w:sz="8" w:space="0"/>
            </w:tcBorders>
            <w:vAlign w:val="center"/>
          </w:tcPr>
          <w:p w14:paraId="46570BCF">
            <w:pPr>
              <w:jc w:val="center"/>
              <w:rPr>
                <w:rFonts w:ascii="宋体" w:hAnsi="宋体"/>
                <w:color w:val="000000" w:themeColor="text1"/>
                <w:sz w:val="18"/>
                <w:szCs w:val="18"/>
              </w:rPr>
            </w:pPr>
            <w:r>
              <w:rPr>
                <w:rFonts w:hint="eastAsia" w:ascii="宋体" w:hAnsi="宋体"/>
                <w:color w:val="000000" w:themeColor="text1"/>
                <w:sz w:val="18"/>
                <w:szCs w:val="18"/>
              </w:rPr>
              <w:t>低风险</w:t>
            </w:r>
          </w:p>
        </w:tc>
      </w:tr>
      <w:tr w14:paraId="75E06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005" w:type="dxa"/>
            <w:tcBorders>
              <w:top w:val="single" w:color="auto" w:sz="4" w:space="0"/>
              <w:left w:val="single" w:color="auto" w:sz="8" w:space="0"/>
              <w:bottom w:val="single" w:color="auto" w:sz="4" w:space="0"/>
              <w:right w:val="single" w:color="auto" w:sz="4" w:space="0"/>
            </w:tcBorders>
            <w:vAlign w:val="center"/>
          </w:tcPr>
          <w:p w14:paraId="37ECE3AB">
            <w:pPr>
              <w:jc w:val="center"/>
              <w:rPr>
                <w:rFonts w:ascii="宋体" w:hAnsi="宋体"/>
                <w:color w:val="000000" w:themeColor="text1"/>
                <w:sz w:val="18"/>
                <w:szCs w:val="18"/>
              </w:rPr>
            </w:pPr>
            <w:r>
              <w:rPr>
                <w:rFonts w:hint="eastAsia" w:ascii="宋体" w:hAnsi="宋体"/>
                <w:color w:val="000000" w:themeColor="text1"/>
                <w:sz w:val="18"/>
                <w:szCs w:val="18"/>
              </w:rPr>
              <w:t>风险等级</w:t>
            </w:r>
            <w:r>
              <w:rPr>
                <w:rFonts w:hint="eastAsia" w:ascii="宋体" w:hAnsi="宋体"/>
                <w:color w:val="000000" w:themeColor="text1"/>
                <w:sz w:val="18"/>
                <w:szCs w:val="18"/>
              </w:rPr>
              <w:br w:type="textWrapping"/>
            </w:r>
            <w:r>
              <w:rPr>
                <w:rFonts w:hint="eastAsia" w:ascii="宋体" w:hAnsi="宋体"/>
                <w:color w:val="000000" w:themeColor="text1"/>
                <w:sz w:val="18"/>
                <w:szCs w:val="18"/>
              </w:rPr>
              <w:t>风险矩阵（LS）评价法</w:t>
            </w:r>
          </w:p>
        </w:tc>
        <w:tc>
          <w:tcPr>
            <w:tcW w:w="1545" w:type="dxa"/>
            <w:tcBorders>
              <w:top w:val="single" w:color="auto" w:sz="4" w:space="0"/>
              <w:left w:val="single" w:color="auto" w:sz="4" w:space="0"/>
              <w:bottom w:val="single" w:color="auto" w:sz="4" w:space="0"/>
              <w:right w:val="single" w:color="auto" w:sz="4" w:space="0"/>
            </w:tcBorders>
            <w:vAlign w:val="center"/>
          </w:tcPr>
          <w:p w14:paraId="29A91956">
            <w:pPr>
              <w:jc w:val="center"/>
              <w:rPr>
                <w:rFonts w:ascii="宋体" w:hAnsi="宋体"/>
                <w:color w:val="000000" w:themeColor="text1"/>
                <w:sz w:val="18"/>
                <w:szCs w:val="18"/>
              </w:rPr>
            </w:pPr>
            <w:r>
              <w:rPr>
                <w:rFonts w:hint="eastAsia" w:ascii="宋体" w:hAnsi="宋体"/>
                <w:color w:val="000000" w:themeColor="text1"/>
                <w:sz w:val="18"/>
                <w:szCs w:val="18"/>
              </w:rPr>
              <w:t>1级</w:t>
            </w:r>
          </w:p>
        </w:tc>
        <w:tc>
          <w:tcPr>
            <w:tcW w:w="1575" w:type="dxa"/>
            <w:tcBorders>
              <w:top w:val="single" w:color="auto" w:sz="4" w:space="0"/>
              <w:left w:val="single" w:color="auto" w:sz="4" w:space="0"/>
              <w:bottom w:val="single" w:color="auto" w:sz="4" w:space="0"/>
              <w:right w:val="single" w:color="auto" w:sz="4" w:space="0"/>
            </w:tcBorders>
            <w:vAlign w:val="center"/>
          </w:tcPr>
          <w:p w14:paraId="07234B0F">
            <w:pPr>
              <w:jc w:val="center"/>
              <w:rPr>
                <w:rFonts w:ascii="宋体" w:hAnsi="宋体"/>
                <w:color w:val="000000" w:themeColor="text1"/>
                <w:sz w:val="18"/>
                <w:szCs w:val="18"/>
              </w:rPr>
            </w:pPr>
            <w:r>
              <w:rPr>
                <w:rFonts w:hint="eastAsia" w:ascii="宋体" w:hAnsi="宋体"/>
                <w:color w:val="000000" w:themeColor="text1"/>
                <w:sz w:val="18"/>
                <w:szCs w:val="18"/>
              </w:rPr>
              <w:t>2级</w:t>
            </w:r>
          </w:p>
        </w:tc>
        <w:tc>
          <w:tcPr>
            <w:tcW w:w="1475" w:type="dxa"/>
            <w:tcBorders>
              <w:top w:val="single" w:color="auto" w:sz="4" w:space="0"/>
              <w:left w:val="single" w:color="auto" w:sz="4" w:space="0"/>
              <w:bottom w:val="single" w:color="auto" w:sz="4" w:space="0"/>
              <w:right w:val="single" w:color="auto" w:sz="4" w:space="0"/>
            </w:tcBorders>
            <w:vAlign w:val="center"/>
          </w:tcPr>
          <w:p w14:paraId="77AE843A">
            <w:pPr>
              <w:jc w:val="center"/>
              <w:rPr>
                <w:rFonts w:ascii="宋体" w:hAnsi="宋体"/>
                <w:color w:val="000000" w:themeColor="text1"/>
                <w:sz w:val="18"/>
                <w:szCs w:val="18"/>
              </w:rPr>
            </w:pPr>
            <w:r>
              <w:rPr>
                <w:rFonts w:hint="eastAsia" w:ascii="宋体" w:hAnsi="宋体"/>
                <w:color w:val="000000" w:themeColor="text1"/>
                <w:sz w:val="18"/>
                <w:szCs w:val="18"/>
              </w:rPr>
              <w:t>3级</w:t>
            </w:r>
          </w:p>
        </w:tc>
        <w:tc>
          <w:tcPr>
            <w:tcW w:w="1475" w:type="dxa"/>
            <w:tcBorders>
              <w:top w:val="single" w:color="auto" w:sz="4" w:space="0"/>
              <w:left w:val="single" w:color="auto" w:sz="4" w:space="0"/>
              <w:bottom w:val="single" w:color="auto" w:sz="4" w:space="0"/>
              <w:right w:val="single" w:color="auto" w:sz="8" w:space="0"/>
            </w:tcBorders>
            <w:vAlign w:val="center"/>
          </w:tcPr>
          <w:p w14:paraId="2973D29B">
            <w:pPr>
              <w:jc w:val="center"/>
              <w:rPr>
                <w:rFonts w:ascii="宋体" w:hAnsi="宋体"/>
                <w:color w:val="000000" w:themeColor="text1"/>
                <w:sz w:val="18"/>
                <w:szCs w:val="18"/>
              </w:rPr>
            </w:pPr>
            <w:r>
              <w:rPr>
                <w:rFonts w:hint="eastAsia" w:ascii="宋体" w:hAnsi="宋体"/>
                <w:color w:val="000000" w:themeColor="text1"/>
                <w:sz w:val="18"/>
                <w:szCs w:val="18"/>
              </w:rPr>
              <w:t>4级</w:t>
            </w:r>
          </w:p>
        </w:tc>
      </w:tr>
      <w:tr w14:paraId="0826D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005" w:type="dxa"/>
            <w:tcBorders>
              <w:top w:val="single" w:color="auto" w:sz="4" w:space="0"/>
              <w:left w:val="single" w:color="auto" w:sz="8" w:space="0"/>
              <w:bottom w:val="single" w:color="auto" w:sz="4" w:space="0"/>
              <w:right w:val="single" w:color="auto" w:sz="4" w:space="0"/>
            </w:tcBorders>
            <w:vAlign w:val="center"/>
          </w:tcPr>
          <w:p w14:paraId="35B4AC24">
            <w:pPr>
              <w:jc w:val="center"/>
              <w:rPr>
                <w:rFonts w:ascii="宋体" w:hAnsi="宋体"/>
                <w:color w:val="000000" w:themeColor="text1"/>
                <w:sz w:val="18"/>
                <w:szCs w:val="18"/>
              </w:rPr>
            </w:pPr>
            <w:r>
              <w:rPr>
                <w:rFonts w:hint="eastAsia" w:ascii="宋体" w:hAnsi="宋体"/>
                <w:color w:val="000000" w:themeColor="text1"/>
                <w:sz w:val="18"/>
                <w:szCs w:val="18"/>
              </w:rPr>
              <w:t>风险色标（风险值）</w:t>
            </w:r>
          </w:p>
        </w:tc>
        <w:tc>
          <w:tcPr>
            <w:tcW w:w="1545" w:type="dxa"/>
            <w:tcBorders>
              <w:top w:val="single" w:color="auto" w:sz="4" w:space="0"/>
              <w:left w:val="single" w:color="auto" w:sz="4" w:space="0"/>
              <w:bottom w:val="single" w:color="auto" w:sz="4" w:space="0"/>
              <w:right w:val="single" w:color="auto" w:sz="4" w:space="0"/>
            </w:tcBorders>
            <w:vAlign w:val="center"/>
          </w:tcPr>
          <w:p w14:paraId="2DF198C2">
            <w:pPr>
              <w:jc w:val="center"/>
              <w:rPr>
                <w:rFonts w:ascii="宋体" w:hAnsi="宋体"/>
                <w:color w:val="000000" w:themeColor="text1"/>
                <w:sz w:val="18"/>
                <w:szCs w:val="18"/>
              </w:rPr>
            </w:pPr>
            <w:r>
              <w:rPr>
                <w:rFonts w:hint="eastAsia" w:ascii="宋体" w:hAnsi="宋体"/>
                <w:color w:val="000000" w:themeColor="text1"/>
                <w:sz w:val="18"/>
                <w:szCs w:val="18"/>
              </w:rPr>
              <w:t>红（20-25）</w:t>
            </w:r>
          </w:p>
        </w:tc>
        <w:tc>
          <w:tcPr>
            <w:tcW w:w="1575" w:type="dxa"/>
            <w:tcBorders>
              <w:top w:val="single" w:color="auto" w:sz="4" w:space="0"/>
              <w:left w:val="single" w:color="auto" w:sz="4" w:space="0"/>
              <w:bottom w:val="single" w:color="auto" w:sz="4" w:space="0"/>
              <w:right w:val="single" w:color="auto" w:sz="4" w:space="0"/>
            </w:tcBorders>
            <w:vAlign w:val="center"/>
          </w:tcPr>
          <w:p w14:paraId="4583BE6E">
            <w:pPr>
              <w:jc w:val="center"/>
              <w:rPr>
                <w:rFonts w:ascii="宋体" w:hAnsi="宋体"/>
                <w:color w:val="000000" w:themeColor="text1"/>
                <w:sz w:val="18"/>
                <w:szCs w:val="18"/>
              </w:rPr>
            </w:pPr>
            <w:r>
              <w:rPr>
                <w:rFonts w:hint="eastAsia" w:ascii="宋体" w:hAnsi="宋体"/>
                <w:color w:val="000000" w:themeColor="text1"/>
                <w:sz w:val="18"/>
                <w:szCs w:val="18"/>
              </w:rPr>
              <w:t>橙（15-19）</w:t>
            </w:r>
          </w:p>
        </w:tc>
        <w:tc>
          <w:tcPr>
            <w:tcW w:w="1475" w:type="dxa"/>
            <w:tcBorders>
              <w:top w:val="single" w:color="auto" w:sz="4" w:space="0"/>
              <w:left w:val="single" w:color="auto" w:sz="4" w:space="0"/>
              <w:bottom w:val="single" w:color="auto" w:sz="4" w:space="0"/>
              <w:right w:val="single" w:color="auto" w:sz="4" w:space="0"/>
            </w:tcBorders>
            <w:vAlign w:val="center"/>
          </w:tcPr>
          <w:p w14:paraId="4D575E07">
            <w:pPr>
              <w:jc w:val="center"/>
              <w:rPr>
                <w:rFonts w:ascii="宋体" w:hAnsi="宋体"/>
                <w:color w:val="000000" w:themeColor="text1"/>
                <w:sz w:val="18"/>
                <w:szCs w:val="18"/>
              </w:rPr>
            </w:pPr>
            <w:r>
              <w:rPr>
                <w:rFonts w:hint="eastAsia" w:ascii="宋体" w:hAnsi="宋体"/>
                <w:color w:val="000000" w:themeColor="text1"/>
                <w:sz w:val="18"/>
                <w:szCs w:val="18"/>
              </w:rPr>
              <w:t>黄（9-14）</w:t>
            </w:r>
          </w:p>
        </w:tc>
        <w:tc>
          <w:tcPr>
            <w:tcW w:w="1475" w:type="dxa"/>
            <w:tcBorders>
              <w:top w:val="single" w:color="auto" w:sz="4" w:space="0"/>
              <w:left w:val="single" w:color="auto" w:sz="4" w:space="0"/>
              <w:bottom w:val="single" w:color="auto" w:sz="4" w:space="0"/>
              <w:right w:val="single" w:color="auto" w:sz="8" w:space="0"/>
            </w:tcBorders>
            <w:vAlign w:val="center"/>
          </w:tcPr>
          <w:p w14:paraId="3C9D4040">
            <w:pPr>
              <w:jc w:val="center"/>
              <w:rPr>
                <w:rFonts w:ascii="宋体" w:hAnsi="宋体"/>
                <w:color w:val="000000" w:themeColor="text1"/>
                <w:sz w:val="18"/>
                <w:szCs w:val="18"/>
              </w:rPr>
            </w:pPr>
            <w:r>
              <w:rPr>
                <w:rFonts w:hint="eastAsia" w:ascii="宋体" w:hAnsi="宋体"/>
                <w:color w:val="000000" w:themeColor="text1"/>
                <w:sz w:val="18"/>
                <w:szCs w:val="18"/>
              </w:rPr>
              <w:t>蓝（1-8）</w:t>
            </w:r>
          </w:p>
        </w:tc>
      </w:tr>
    </w:tbl>
    <w:p w14:paraId="023BF30C">
      <w:pPr>
        <w:pStyle w:val="67"/>
        <w:spacing w:before="156" w:after="156"/>
        <w:rPr>
          <w:color w:val="000000" w:themeColor="text1"/>
        </w:rPr>
      </w:pPr>
      <w:bookmarkStart w:id="107" w:name="_Toc185672266"/>
      <w:bookmarkStart w:id="108" w:name="_Toc185426282"/>
      <w:bookmarkStart w:id="109" w:name="_Toc182082986"/>
      <w:r>
        <w:rPr>
          <w:rFonts w:hint="eastAsia"/>
          <w:color w:val="000000" w:themeColor="text1"/>
        </w:rPr>
        <w:t>风险分级管控</w:t>
      </w:r>
      <w:bookmarkEnd w:id="107"/>
      <w:bookmarkEnd w:id="108"/>
      <w:bookmarkEnd w:id="109"/>
    </w:p>
    <w:p w14:paraId="3F48CD48">
      <w:pPr>
        <w:pStyle w:val="166"/>
        <w:rPr>
          <w:color w:val="000000" w:themeColor="text1"/>
        </w:rPr>
      </w:pPr>
      <w:r>
        <w:rPr>
          <w:rFonts w:hint="eastAsia"/>
          <w:color w:val="000000" w:themeColor="text1"/>
        </w:rPr>
        <w:t>使用单位可按照表2的要求对</w:t>
      </w:r>
      <w:r>
        <w:rPr>
          <w:rFonts w:hint="eastAsia"/>
          <w:color w:val="000000" w:themeColor="text1"/>
          <w:lang w:val="en-US" w:eastAsia="zh-CN"/>
        </w:rPr>
        <w:t>塔式起重机</w:t>
      </w:r>
      <w:r>
        <w:rPr>
          <w:rFonts w:hint="eastAsia"/>
          <w:color w:val="000000" w:themeColor="text1"/>
        </w:rPr>
        <w:t>风险实施分级管控。</w:t>
      </w:r>
    </w:p>
    <w:p w14:paraId="23D0E844">
      <w:pPr>
        <w:pStyle w:val="114"/>
        <w:spacing w:before="156" w:after="156"/>
        <w:rPr>
          <w:color w:val="000000" w:themeColor="text1"/>
        </w:rPr>
      </w:pPr>
      <w:r>
        <w:rPr>
          <w:rFonts w:hint="eastAsia"/>
          <w:color w:val="000000" w:themeColor="text1"/>
        </w:rPr>
        <w:t>风险分级管控要求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0"/>
        <w:gridCol w:w="2268"/>
        <w:gridCol w:w="5536"/>
      </w:tblGrid>
      <w:tr w14:paraId="0427E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8" w:space="0"/>
              <w:left w:val="single" w:color="auto" w:sz="8" w:space="0"/>
              <w:bottom w:val="single" w:color="auto" w:sz="8" w:space="0"/>
              <w:right w:val="single" w:color="auto" w:sz="4" w:space="0"/>
            </w:tcBorders>
            <w:vAlign w:val="center"/>
          </w:tcPr>
          <w:p w14:paraId="0089EF30">
            <w:pPr>
              <w:pStyle w:val="180"/>
              <w:rPr>
                <w:color w:val="000000" w:themeColor="text1"/>
              </w:rPr>
            </w:pPr>
            <w:r>
              <w:rPr>
                <w:rFonts w:hint="eastAsia" w:hAnsi="宋体"/>
                <w:color w:val="000000" w:themeColor="text1"/>
              </w:rPr>
              <w:t>级别划分</w:t>
            </w:r>
          </w:p>
        </w:tc>
        <w:tc>
          <w:tcPr>
            <w:tcW w:w="2268" w:type="dxa"/>
            <w:tcBorders>
              <w:top w:val="single" w:color="auto" w:sz="8" w:space="0"/>
              <w:left w:val="single" w:color="auto" w:sz="4" w:space="0"/>
              <w:bottom w:val="single" w:color="auto" w:sz="8" w:space="0"/>
              <w:right w:val="single" w:color="auto" w:sz="4" w:space="0"/>
            </w:tcBorders>
            <w:vAlign w:val="center"/>
          </w:tcPr>
          <w:p w14:paraId="68062FDA">
            <w:pPr>
              <w:pStyle w:val="180"/>
              <w:rPr>
                <w:color w:val="000000" w:themeColor="text1"/>
              </w:rPr>
            </w:pPr>
            <w:r>
              <w:rPr>
                <w:rFonts w:hint="eastAsia" w:hAnsi="宋体"/>
                <w:color w:val="000000" w:themeColor="text1"/>
              </w:rPr>
              <w:t>管控层级</w:t>
            </w:r>
          </w:p>
        </w:tc>
        <w:tc>
          <w:tcPr>
            <w:tcW w:w="5536" w:type="dxa"/>
            <w:tcBorders>
              <w:top w:val="single" w:color="auto" w:sz="8" w:space="0"/>
              <w:left w:val="single" w:color="auto" w:sz="4" w:space="0"/>
              <w:bottom w:val="single" w:color="auto" w:sz="8" w:space="0"/>
              <w:right w:val="single" w:color="auto" w:sz="8" w:space="0"/>
            </w:tcBorders>
            <w:vAlign w:val="center"/>
          </w:tcPr>
          <w:p w14:paraId="08B7F737">
            <w:pPr>
              <w:pStyle w:val="180"/>
              <w:rPr>
                <w:color w:val="000000" w:themeColor="text1"/>
              </w:rPr>
            </w:pPr>
            <w:r>
              <w:rPr>
                <w:rFonts w:hint="eastAsia" w:hAnsi="宋体"/>
                <w:color w:val="000000" w:themeColor="text1"/>
              </w:rPr>
              <w:t>管控要求</w:t>
            </w:r>
          </w:p>
        </w:tc>
      </w:tr>
      <w:tr w14:paraId="368E9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8" w:space="0"/>
              <w:left w:val="single" w:color="auto" w:sz="8" w:space="0"/>
              <w:bottom w:val="single" w:color="auto" w:sz="4" w:space="0"/>
              <w:right w:val="single" w:color="auto" w:sz="4" w:space="0"/>
            </w:tcBorders>
            <w:vAlign w:val="center"/>
          </w:tcPr>
          <w:p w14:paraId="5B34BE09">
            <w:pPr>
              <w:pStyle w:val="180"/>
              <w:rPr>
                <w:color w:val="000000" w:themeColor="text1"/>
              </w:rPr>
            </w:pPr>
            <w:r>
              <w:rPr>
                <w:rFonts w:hint="eastAsia" w:hAnsi="宋体"/>
                <w:color w:val="000000" w:themeColor="text1"/>
              </w:rPr>
              <w:t>重大风险</w:t>
            </w:r>
          </w:p>
        </w:tc>
        <w:tc>
          <w:tcPr>
            <w:tcW w:w="2268" w:type="dxa"/>
            <w:tcBorders>
              <w:top w:val="single" w:color="auto" w:sz="8" w:space="0"/>
              <w:left w:val="single" w:color="auto" w:sz="4" w:space="0"/>
              <w:bottom w:val="single" w:color="auto" w:sz="4" w:space="0"/>
              <w:right w:val="single" w:color="auto" w:sz="4" w:space="0"/>
            </w:tcBorders>
            <w:vAlign w:val="center"/>
          </w:tcPr>
          <w:p w14:paraId="1ACB87C1">
            <w:pPr>
              <w:pStyle w:val="180"/>
              <w:rPr>
                <w:color w:val="000000" w:themeColor="text1"/>
              </w:rPr>
            </w:pPr>
            <w:r>
              <w:rPr>
                <w:rFonts w:hint="eastAsia" w:hAnsi="宋体"/>
                <w:color w:val="000000" w:themeColor="text1"/>
              </w:rPr>
              <w:t>单位级别重点控制管理</w:t>
            </w:r>
          </w:p>
        </w:tc>
        <w:tc>
          <w:tcPr>
            <w:tcW w:w="5536" w:type="dxa"/>
            <w:tcBorders>
              <w:top w:val="single" w:color="auto" w:sz="8" w:space="0"/>
              <w:left w:val="single" w:color="auto" w:sz="4" w:space="0"/>
              <w:bottom w:val="single" w:color="auto" w:sz="4" w:space="0"/>
              <w:right w:val="single" w:color="auto" w:sz="8" w:space="0"/>
            </w:tcBorders>
            <w:vAlign w:val="center"/>
          </w:tcPr>
          <w:p w14:paraId="6DCC8471">
            <w:pPr>
              <w:pStyle w:val="180"/>
              <w:ind w:firstLine="180" w:firstLineChars="100"/>
              <w:jc w:val="left"/>
              <w:rPr>
                <w:color w:val="000000" w:themeColor="text1"/>
              </w:rPr>
            </w:pPr>
            <w:r>
              <w:rPr>
                <w:rFonts w:hint="eastAsia" w:hAnsi="宋体"/>
                <w:color w:val="000000" w:themeColor="text1"/>
              </w:rPr>
              <w:t>使用单位主要负责人负责控制管理，必要时可由使用单位主要负责人组织成立风险管控领导小组对风险实施控制管理。按照</w:t>
            </w:r>
            <w:r>
              <w:rPr>
                <w:rFonts w:hint="eastAsia" w:hAnsi="宋体"/>
                <w:color w:val="000000" w:themeColor="text1"/>
                <w:lang w:eastAsia="zh-CN"/>
              </w:rPr>
              <w:t>法律法规</w:t>
            </w:r>
            <w:r>
              <w:rPr>
                <w:rFonts w:hint="eastAsia" w:hAnsi="宋体"/>
                <w:color w:val="000000" w:themeColor="text1"/>
              </w:rPr>
              <w:t>、安全技术规范要求应立即停止使用</w:t>
            </w:r>
            <w:r>
              <w:rPr>
                <w:rFonts w:hint="eastAsia"/>
                <w:color w:val="000000" w:themeColor="text1"/>
                <w:lang w:val="en-US" w:eastAsia="zh-CN"/>
              </w:rPr>
              <w:t>塔式起重机</w:t>
            </w:r>
            <w:r>
              <w:rPr>
                <w:rFonts w:hint="eastAsia" w:hAnsi="宋体"/>
                <w:color w:val="000000" w:themeColor="text1"/>
              </w:rPr>
              <w:t>，并组织制定专项控制措施或方案，对重大风险进行治理。只有当风险已降至可接受或可容许程度后，才能开始或继续使用</w:t>
            </w:r>
            <w:r>
              <w:rPr>
                <w:rFonts w:hint="eastAsia"/>
                <w:color w:val="000000" w:themeColor="text1"/>
                <w:lang w:val="en-US" w:eastAsia="zh-CN"/>
              </w:rPr>
              <w:t>塔式起重机</w:t>
            </w:r>
          </w:p>
        </w:tc>
      </w:tr>
      <w:tr w14:paraId="3C132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vAlign w:val="center"/>
          </w:tcPr>
          <w:p w14:paraId="340389BA">
            <w:pPr>
              <w:pStyle w:val="180"/>
              <w:rPr>
                <w:color w:val="000000" w:themeColor="text1"/>
              </w:rPr>
            </w:pPr>
            <w:r>
              <w:rPr>
                <w:rFonts w:hint="eastAsia" w:hAnsi="宋体"/>
                <w:color w:val="000000" w:themeColor="text1"/>
              </w:rPr>
              <w:t>较大风险</w:t>
            </w:r>
          </w:p>
        </w:tc>
        <w:tc>
          <w:tcPr>
            <w:tcW w:w="2268" w:type="dxa"/>
            <w:tcBorders>
              <w:top w:val="single" w:color="auto" w:sz="4" w:space="0"/>
              <w:left w:val="single" w:color="auto" w:sz="4" w:space="0"/>
              <w:bottom w:val="single" w:color="auto" w:sz="4" w:space="0"/>
              <w:right w:val="single" w:color="auto" w:sz="4" w:space="0"/>
            </w:tcBorders>
            <w:vAlign w:val="center"/>
          </w:tcPr>
          <w:p w14:paraId="7FFCE5F9">
            <w:pPr>
              <w:pStyle w:val="180"/>
              <w:rPr>
                <w:color w:val="000000" w:themeColor="text1"/>
              </w:rPr>
            </w:pPr>
            <w:r>
              <w:rPr>
                <w:rFonts w:hint="eastAsia" w:hAnsi="宋体"/>
                <w:color w:val="000000" w:themeColor="text1"/>
              </w:rPr>
              <w:t>单位级别控制管理</w:t>
            </w:r>
          </w:p>
        </w:tc>
        <w:tc>
          <w:tcPr>
            <w:tcW w:w="5536" w:type="dxa"/>
            <w:tcBorders>
              <w:top w:val="single" w:color="auto" w:sz="4" w:space="0"/>
              <w:left w:val="single" w:color="auto" w:sz="4" w:space="0"/>
              <w:bottom w:val="single" w:color="auto" w:sz="4" w:space="0"/>
              <w:right w:val="single" w:color="auto" w:sz="8" w:space="0"/>
            </w:tcBorders>
            <w:vAlign w:val="center"/>
          </w:tcPr>
          <w:p w14:paraId="15AE8F89">
            <w:pPr>
              <w:pStyle w:val="180"/>
              <w:ind w:firstLine="180" w:firstLineChars="100"/>
              <w:jc w:val="left"/>
              <w:rPr>
                <w:color w:val="000000" w:themeColor="text1"/>
              </w:rPr>
            </w:pPr>
            <w:r>
              <w:rPr>
                <w:rFonts w:hint="eastAsia" w:hAnsi="宋体"/>
                <w:color w:val="000000" w:themeColor="text1"/>
              </w:rPr>
              <w:t>由</w:t>
            </w:r>
            <w:r>
              <w:rPr>
                <w:rFonts w:hint="eastAsia"/>
                <w:color w:val="000000" w:themeColor="text1"/>
                <w:lang w:val="en-US" w:eastAsia="zh-CN"/>
              </w:rPr>
              <w:t>塔式起重机</w:t>
            </w:r>
            <w:r>
              <w:rPr>
                <w:rFonts w:hint="eastAsia" w:hAnsi="宋体"/>
                <w:color w:val="000000" w:themeColor="text1"/>
              </w:rPr>
              <w:t>安全总监负责控制管理，各相关职能部门及</w:t>
            </w:r>
            <w:r>
              <w:rPr>
                <w:rFonts w:hint="eastAsia"/>
                <w:color w:val="000000" w:themeColor="text1"/>
                <w:lang w:val="en-US" w:eastAsia="zh-CN"/>
              </w:rPr>
              <w:t>塔式起重机</w:t>
            </w:r>
            <w:r>
              <w:rPr>
                <w:rFonts w:hint="eastAsia" w:hAnsi="宋体"/>
                <w:color w:val="000000" w:themeColor="text1"/>
              </w:rPr>
              <w:t>安全员根据职责分工组织具体落实。当风险涉及正在进行中的工作时，应采取应急措施，并根据需求为降低风险制定目标、指标、管理方案或配给资源、限期治理，直至风险降至可接受或可容许程度后才能开始或继续使用</w:t>
            </w:r>
            <w:r>
              <w:rPr>
                <w:rFonts w:hint="eastAsia"/>
                <w:color w:val="000000" w:themeColor="text1"/>
                <w:lang w:val="en-US" w:eastAsia="zh-CN"/>
              </w:rPr>
              <w:t>塔式起重机</w:t>
            </w:r>
          </w:p>
        </w:tc>
      </w:tr>
      <w:tr w14:paraId="34A1C7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vAlign w:val="center"/>
          </w:tcPr>
          <w:p w14:paraId="333A44E0">
            <w:pPr>
              <w:pStyle w:val="180"/>
              <w:rPr>
                <w:color w:val="000000" w:themeColor="text1"/>
              </w:rPr>
            </w:pPr>
            <w:r>
              <w:rPr>
                <w:rFonts w:hint="eastAsia" w:hAnsi="宋体"/>
                <w:color w:val="000000" w:themeColor="text1"/>
              </w:rPr>
              <w:t>一般风险</w:t>
            </w:r>
          </w:p>
        </w:tc>
        <w:tc>
          <w:tcPr>
            <w:tcW w:w="2268" w:type="dxa"/>
            <w:tcBorders>
              <w:top w:val="single" w:color="auto" w:sz="4" w:space="0"/>
              <w:left w:val="single" w:color="auto" w:sz="4" w:space="0"/>
              <w:bottom w:val="single" w:color="auto" w:sz="4" w:space="0"/>
              <w:right w:val="single" w:color="auto" w:sz="4" w:space="0"/>
            </w:tcBorders>
            <w:vAlign w:val="center"/>
          </w:tcPr>
          <w:p w14:paraId="52BBEF29">
            <w:pPr>
              <w:pStyle w:val="180"/>
              <w:rPr>
                <w:color w:val="000000" w:themeColor="text1"/>
              </w:rPr>
            </w:pPr>
            <w:r>
              <w:rPr>
                <w:rFonts w:hint="eastAsia" w:hAnsi="宋体"/>
                <w:color w:val="000000" w:themeColor="text1"/>
              </w:rPr>
              <w:t>部门级别控制管理</w:t>
            </w:r>
          </w:p>
        </w:tc>
        <w:tc>
          <w:tcPr>
            <w:tcW w:w="5536" w:type="dxa"/>
            <w:tcBorders>
              <w:top w:val="single" w:color="auto" w:sz="4" w:space="0"/>
              <w:left w:val="single" w:color="auto" w:sz="4" w:space="0"/>
              <w:bottom w:val="single" w:color="auto" w:sz="4" w:space="0"/>
              <w:right w:val="single" w:color="auto" w:sz="8" w:space="0"/>
            </w:tcBorders>
            <w:vAlign w:val="center"/>
          </w:tcPr>
          <w:p w14:paraId="4CBE3191">
            <w:pPr>
              <w:pStyle w:val="180"/>
              <w:ind w:firstLine="180" w:firstLineChars="100"/>
              <w:jc w:val="left"/>
              <w:rPr>
                <w:color w:val="000000" w:themeColor="text1"/>
              </w:rPr>
            </w:pPr>
            <w:r>
              <w:rPr>
                <w:rFonts w:hint="eastAsia" w:hAnsi="宋体"/>
                <w:color w:val="000000" w:themeColor="text1"/>
              </w:rPr>
              <w:t>由</w:t>
            </w:r>
            <w:r>
              <w:rPr>
                <w:rFonts w:hint="eastAsia"/>
                <w:color w:val="000000" w:themeColor="text1"/>
                <w:lang w:val="en-US" w:eastAsia="zh-CN"/>
              </w:rPr>
              <w:t>塔式起重机</w:t>
            </w:r>
            <w:r>
              <w:rPr>
                <w:rFonts w:hint="eastAsia" w:hAnsi="宋体"/>
                <w:color w:val="000000" w:themeColor="text1"/>
              </w:rPr>
              <w:t>管理部门负责风险源的管理或</w:t>
            </w:r>
            <w:r>
              <w:rPr>
                <w:rFonts w:hint="eastAsia"/>
                <w:color w:val="000000" w:themeColor="text1"/>
                <w:lang w:val="en-US" w:eastAsia="zh-CN"/>
              </w:rPr>
              <w:t>塔式起重机</w:t>
            </w:r>
            <w:r>
              <w:rPr>
                <w:rFonts w:hint="eastAsia" w:hAnsi="宋体"/>
                <w:color w:val="000000" w:themeColor="text1"/>
              </w:rPr>
              <w:t>安全员负责控制管理，所属部门组织具体落实。应制定管理制度、规定进行控制，努力降低风险,在规定期限内实施降低风险措施。</w:t>
            </w:r>
          </w:p>
        </w:tc>
      </w:tr>
      <w:tr w14:paraId="0F6945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8" w:space="0"/>
              <w:right w:val="single" w:color="auto" w:sz="4" w:space="0"/>
            </w:tcBorders>
            <w:vAlign w:val="center"/>
          </w:tcPr>
          <w:p w14:paraId="29E73848">
            <w:pPr>
              <w:pStyle w:val="180"/>
              <w:rPr>
                <w:color w:val="000000" w:themeColor="text1"/>
              </w:rPr>
            </w:pPr>
            <w:r>
              <w:rPr>
                <w:rFonts w:hint="eastAsia" w:hAnsi="宋体"/>
                <w:color w:val="000000" w:themeColor="text1"/>
              </w:rPr>
              <w:t>低风险</w:t>
            </w:r>
          </w:p>
        </w:tc>
        <w:tc>
          <w:tcPr>
            <w:tcW w:w="2268" w:type="dxa"/>
            <w:tcBorders>
              <w:top w:val="single" w:color="auto" w:sz="4" w:space="0"/>
              <w:left w:val="single" w:color="auto" w:sz="4" w:space="0"/>
              <w:bottom w:val="single" w:color="auto" w:sz="8" w:space="0"/>
              <w:right w:val="single" w:color="auto" w:sz="4" w:space="0"/>
            </w:tcBorders>
            <w:vAlign w:val="center"/>
          </w:tcPr>
          <w:p w14:paraId="0A293508">
            <w:pPr>
              <w:pStyle w:val="180"/>
              <w:rPr>
                <w:color w:val="000000" w:themeColor="text1"/>
              </w:rPr>
            </w:pPr>
            <w:r>
              <w:rPr>
                <w:rFonts w:hint="eastAsia" w:hAnsi="宋体"/>
                <w:color w:val="000000" w:themeColor="text1"/>
              </w:rPr>
              <w:t>安全员级别控制管理</w:t>
            </w:r>
          </w:p>
        </w:tc>
        <w:tc>
          <w:tcPr>
            <w:tcW w:w="5536" w:type="dxa"/>
            <w:tcBorders>
              <w:top w:val="single" w:color="auto" w:sz="4" w:space="0"/>
              <w:left w:val="single" w:color="auto" w:sz="4" w:space="0"/>
              <w:bottom w:val="single" w:color="auto" w:sz="8" w:space="0"/>
              <w:right w:val="single" w:color="auto" w:sz="8" w:space="0"/>
            </w:tcBorders>
            <w:vAlign w:val="center"/>
          </w:tcPr>
          <w:p w14:paraId="6602ABC0">
            <w:pPr>
              <w:pStyle w:val="180"/>
              <w:ind w:firstLine="180" w:firstLineChars="100"/>
              <w:jc w:val="left"/>
              <w:rPr>
                <w:color w:val="000000" w:themeColor="text1"/>
              </w:rPr>
            </w:pPr>
            <w:r>
              <w:rPr>
                <w:rFonts w:hint="eastAsia" w:hAnsi="宋体"/>
                <w:color w:val="000000" w:themeColor="text1"/>
              </w:rPr>
              <w:t>由</w:t>
            </w:r>
            <w:r>
              <w:rPr>
                <w:rFonts w:hint="eastAsia"/>
                <w:color w:val="000000" w:themeColor="text1"/>
                <w:lang w:val="en-US" w:eastAsia="zh-CN"/>
              </w:rPr>
              <w:t>塔式起重机</w:t>
            </w:r>
            <w:r>
              <w:rPr>
                <w:rFonts w:hint="eastAsia" w:hAnsi="宋体"/>
                <w:color w:val="000000" w:themeColor="text1"/>
              </w:rPr>
              <w:t>安全员负责控制管理和落实。不需要另外的控制措施，应考虑投资效果更佳的解决方案或不增加额外成本的改进措施，需要监视来确保控制措施得以维持现状，保留记录</w:t>
            </w:r>
          </w:p>
        </w:tc>
      </w:tr>
    </w:tbl>
    <w:p w14:paraId="45AFB5B3">
      <w:pPr>
        <w:pStyle w:val="166"/>
        <w:rPr>
          <w:color w:val="000000" w:themeColor="text1"/>
        </w:rPr>
      </w:pPr>
      <w:r>
        <w:rPr>
          <w:rFonts w:hint="eastAsia"/>
          <w:color w:val="000000" w:themeColor="text1"/>
        </w:rPr>
        <w:t>使用单位在每一轮风险辨识和评价后，在《安全分析评价记录表》的基础上，编制包括各类风险信息的《风险分级管控清单》（见附录B），逐级汇总、评审、修订、审核、发布、培训，并按规定及时更新。使用单位可以主动根据以下情况变化，及时更新风险信息：</w:t>
      </w:r>
    </w:p>
    <w:p w14:paraId="220F8588">
      <w:pPr>
        <w:pStyle w:val="134"/>
        <w:rPr>
          <w:color w:val="000000" w:themeColor="text1"/>
        </w:rPr>
      </w:pPr>
      <w:r>
        <w:rPr>
          <w:rFonts w:hint="eastAsia"/>
          <w:color w:val="000000" w:themeColor="text1"/>
        </w:rPr>
        <w:t>国家、地方和行业相关</w:t>
      </w:r>
      <w:r>
        <w:rPr>
          <w:rFonts w:hint="eastAsia"/>
          <w:color w:val="000000" w:themeColor="text1"/>
          <w:lang w:eastAsia="zh-CN"/>
        </w:rPr>
        <w:t>法律法规</w:t>
      </w:r>
      <w:r>
        <w:rPr>
          <w:rFonts w:hint="eastAsia"/>
          <w:color w:val="000000" w:themeColor="text1"/>
        </w:rPr>
        <w:t>、规章、安全技术规范和标准发生变化所引起风险程度的改变；</w:t>
      </w:r>
    </w:p>
    <w:p w14:paraId="52B1097F">
      <w:pPr>
        <w:pStyle w:val="134"/>
        <w:rPr>
          <w:color w:val="000000" w:themeColor="text1"/>
        </w:rPr>
      </w:pPr>
      <w:r>
        <w:rPr>
          <w:rFonts w:hint="eastAsia"/>
          <w:color w:val="000000" w:themeColor="text1"/>
        </w:rPr>
        <w:t>同类型风险点或者相关行业发生事故灾害，对事故、事件或其他信息有新的认识；</w:t>
      </w:r>
    </w:p>
    <w:p w14:paraId="5421B78D">
      <w:pPr>
        <w:pStyle w:val="134"/>
        <w:rPr>
          <w:color w:val="000000" w:themeColor="text1"/>
        </w:rPr>
      </w:pPr>
      <w:r>
        <w:rPr>
          <w:rFonts w:hint="eastAsia"/>
          <w:color w:val="000000" w:themeColor="text1"/>
        </w:rPr>
        <w:t>组织机构或管理体系发生重大调整；</w:t>
      </w:r>
    </w:p>
    <w:p w14:paraId="2545FCA6">
      <w:pPr>
        <w:pStyle w:val="134"/>
        <w:rPr>
          <w:color w:val="000000" w:themeColor="text1"/>
        </w:rPr>
      </w:pPr>
      <w:r>
        <w:rPr>
          <w:rFonts w:hint="eastAsia"/>
          <w:color w:val="000000" w:themeColor="text1"/>
        </w:rPr>
        <w:t>使用环境发生较大变化；</w:t>
      </w:r>
    </w:p>
    <w:p w14:paraId="14B68820">
      <w:pPr>
        <w:pStyle w:val="134"/>
        <w:rPr>
          <w:color w:val="000000" w:themeColor="text1"/>
        </w:rPr>
      </w:pPr>
      <w:r>
        <w:rPr>
          <w:rFonts w:hint="eastAsia"/>
          <w:color w:val="000000" w:themeColor="text1"/>
        </w:rPr>
        <w:t>新辨识出的风险源；</w:t>
      </w:r>
    </w:p>
    <w:p w14:paraId="34AA63AF">
      <w:pPr>
        <w:pStyle w:val="134"/>
        <w:rPr>
          <w:color w:val="000000" w:themeColor="text1"/>
        </w:rPr>
      </w:pPr>
      <w:r>
        <w:rPr>
          <w:rFonts w:hint="eastAsia"/>
          <w:color w:val="000000" w:themeColor="text1"/>
        </w:rPr>
        <w:t>风险程度或者风险控制措施变化等。</w:t>
      </w:r>
    </w:p>
    <w:p w14:paraId="27B14776">
      <w:pPr>
        <w:pStyle w:val="67"/>
        <w:spacing w:before="156" w:after="156"/>
        <w:rPr>
          <w:color w:val="000000" w:themeColor="text1"/>
        </w:rPr>
      </w:pPr>
      <w:bookmarkStart w:id="110" w:name="_Toc185672267"/>
      <w:bookmarkStart w:id="111" w:name="_Toc185426283"/>
      <w:bookmarkStart w:id="112" w:name="_Toc182082987"/>
      <w:r>
        <w:rPr>
          <w:rFonts w:hint="eastAsia"/>
          <w:color w:val="000000" w:themeColor="text1"/>
        </w:rPr>
        <w:t>风险告知</w:t>
      </w:r>
      <w:bookmarkEnd w:id="110"/>
      <w:bookmarkEnd w:id="111"/>
      <w:bookmarkEnd w:id="112"/>
    </w:p>
    <w:p w14:paraId="21B2EEA9">
      <w:pPr>
        <w:pStyle w:val="166"/>
        <w:rPr>
          <w:color w:val="000000" w:themeColor="text1"/>
        </w:rPr>
      </w:pPr>
      <w:r>
        <w:rPr>
          <w:rFonts w:hint="eastAsia"/>
          <w:color w:val="000000" w:themeColor="text1"/>
        </w:rPr>
        <w:t>使用单位应建立风险告知制度，及时将</w:t>
      </w:r>
      <w:r>
        <w:rPr>
          <w:rFonts w:hint="eastAsia"/>
          <w:color w:val="000000" w:themeColor="text1"/>
          <w:lang w:val="en-US" w:eastAsia="zh-CN"/>
        </w:rPr>
        <w:t>塔式起重机</w:t>
      </w:r>
      <w:r>
        <w:rPr>
          <w:rFonts w:hint="eastAsia"/>
          <w:color w:val="000000" w:themeColor="text1"/>
        </w:rPr>
        <w:t xml:space="preserve">风险及相关控制措施告知单位内部员工及相关方。 </w:t>
      </w:r>
    </w:p>
    <w:p w14:paraId="69B3AEBD">
      <w:pPr>
        <w:pStyle w:val="166"/>
        <w:rPr>
          <w:color w:val="000000" w:themeColor="text1"/>
        </w:rPr>
      </w:pPr>
      <w:r>
        <w:rPr>
          <w:rFonts w:hint="eastAsia"/>
          <w:color w:val="000000" w:themeColor="text1"/>
        </w:rPr>
        <w:t>风险告知可采用但不限于以下的方式进行：</w:t>
      </w:r>
    </w:p>
    <w:p w14:paraId="4A0B53B9">
      <w:pPr>
        <w:pStyle w:val="134"/>
        <w:rPr>
          <w:color w:val="000000" w:themeColor="text1"/>
        </w:rPr>
      </w:pPr>
      <w:r>
        <w:rPr>
          <w:rFonts w:hint="eastAsia"/>
          <w:color w:val="000000" w:themeColor="text1"/>
        </w:rPr>
        <w:t>制作并发放风险告知卡；</w:t>
      </w:r>
    </w:p>
    <w:p w14:paraId="49668F77">
      <w:pPr>
        <w:pStyle w:val="134"/>
        <w:rPr>
          <w:color w:val="000000" w:themeColor="text1"/>
        </w:rPr>
      </w:pPr>
      <w:r>
        <w:rPr>
          <w:rFonts w:hint="eastAsia"/>
          <w:color w:val="000000" w:themeColor="text1"/>
        </w:rPr>
        <w:t>编制并发放风险告知手册；</w:t>
      </w:r>
    </w:p>
    <w:p w14:paraId="1A62725E">
      <w:pPr>
        <w:pStyle w:val="134"/>
        <w:rPr>
          <w:color w:val="000000" w:themeColor="text1"/>
        </w:rPr>
      </w:pPr>
      <w:r>
        <w:rPr>
          <w:rFonts w:hint="eastAsia"/>
          <w:color w:val="000000" w:themeColor="text1"/>
        </w:rPr>
        <w:t>根据已识别出的风险和相应的控制措施，组织对内、外部相关方人员进行培训教育；</w:t>
      </w:r>
    </w:p>
    <w:p w14:paraId="266E420A">
      <w:pPr>
        <w:pStyle w:val="134"/>
        <w:rPr>
          <w:color w:val="000000" w:themeColor="text1"/>
        </w:rPr>
      </w:pPr>
      <w:r>
        <w:rPr>
          <w:rFonts w:hint="eastAsia"/>
          <w:color w:val="000000" w:themeColor="text1"/>
        </w:rPr>
        <w:t>在涉及重大风险的位置或区域设置重大风险公告栏（见附录C）、风险警示牌。</w:t>
      </w:r>
    </w:p>
    <w:p w14:paraId="68ECC8E6">
      <w:pPr>
        <w:pStyle w:val="107"/>
        <w:spacing w:before="156" w:after="156"/>
        <w:rPr>
          <w:color w:val="000000" w:themeColor="text1"/>
        </w:rPr>
      </w:pPr>
      <w:bookmarkStart w:id="113" w:name="_Toc185672268"/>
      <w:bookmarkStart w:id="114" w:name="_Toc185426284"/>
      <w:r>
        <w:rPr>
          <w:color w:val="000000" w:themeColor="text1"/>
        </w:rPr>
        <w:t>定期评审</w:t>
      </w:r>
      <w:bookmarkEnd w:id="113"/>
      <w:bookmarkEnd w:id="114"/>
    </w:p>
    <w:p w14:paraId="16ACF7BA">
      <w:pPr>
        <w:pStyle w:val="167"/>
        <w:rPr>
          <w:color w:val="000000" w:themeColor="text1"/>
        </w:rPr>
      </w:pPr>
      <w:r>
        <w:rPr>
          <w:rFonts w:hint="eastAsia"/>
          <w:color w:val="000000" w:themeColor="text1"/>
        </w:rPr>
        <w:t>当</w:t>
      </w:r>
      <w:r>
        <w:rPr>
          <w:rFonts w:hint="eastAsia"/>
          <w:color w:val="000000" w:themeColor="text1"/>
          <w:lang w:val="en-US" w:eastAsia="zh-CN"/>
        </w:rPr>
        <w:t>塔式起重机</w:t>
      </w:r>
      <w:r>
        <w:rPr>
          <w:rFonts w:hint="eastAsia"/>
          <w:color w:val="000000" w:themeColor="text1"/>
        </w:rPr>
        <w:t>使用环境、使用单位发生变化，以及</w:t>
      </w:r>
      <w:r>
        <w:rPr>
          <w:rFonts w:hint="eastAsia"/>
          <w:color w:val="000000" w:themeColor="text1"/>
          <w:lang w:val="en-US" w:eastAsia="zh-CN"/>
        </w:rPr>
        <w:t>塔式起重机</w:t>
      </w:r>
      <w:r>
        <w:rPr>
          <w:rFonts w:hint="eastAsia"/>
          <w:color w:val="000000" w:themeColor="text1"/>
        </w:rPr>
        <w:t>本体经过改造或重大修理后，应按照5.1的流程对相关的</w:t>
      </w:r>
      <w:r>
        <w:rPr>
          <w:rFonts w:hint="eastAsia"/>
          <w:color w:val="000000" w:themeColor="text1"/>
          <w:lang w:val="en-US" w:eastAsia="zh-CN"/>
        </w:rPr>
        <w:t>塔式起重机</w:t>
      </w:r>
      <w:r>
        <w:rPr>
          <w:rFonts w:hint="eastAsia"/>
          <w:color w:val="000000" w:themeColor="text1"/>
        </w:rPr>
        <w:t>风险源重新进行风险辨识、评价、控制和落实管控。</w:t>
      </w:r>
    </w:p>
    <w:p w14:paraId="0E68F0DD">
      <w:pPr>
        <w:pStyle w:val="167"/>
        <w:rPr>
          <w:color w:val="000000" w:themeColor="text1"/>
        </w:rPr>
      </w:pPr>
      <w:r>
        <w:rPr>
          <w:rFonts w:hint="eastAsia"/>
          <w:color w:val="000000" w:themeColor="text1"/>
        </w:rPr>
        <w:t>每年对</w:t>
      </w:r>
      <w:r>
        <w:rPr>
          <w:rFonts w:hint="eastAsia"/>
          <w:color w:val="000000" w:themeColor="text1"/>
          <w:lang w:val="en-US" w:eastAsia="zh-CN"/>
        </w:rPr>
        <w:t>塔式起重机</w:t>
      </w:r>
      <w:r>
        <w:rPr>
          <w:rFonts w:hint="eastAsia"/>
          <w:color w:val="000000" w:themeColor="text1"/>
        </w:rPr>
        <w:t>风险管控工作至少进行一次评审，持续调整和改进风险管控措施。</w:t>
      </w:r>
    </w:p>
    <w:p w14:paraId="1DF64C55">
      <w:pPr>
        <w:pStyle w:val="106"/>
        <w:spacing w:before="312" w:after="312"/>
        <w:rPr>
          <w:color w:val="000000" w:themeColor="text1"/>
        </w:rPr>
      </w:pPr>
      <w:bookmarkStart w:id="115" w:name="_Toc185426285"/>
      <w:bookmarkStart w:id="116" w:name="_Toc182082988"/>
      <w:bookmarkStart w:id="117" w:name="_Toc185672269"/>
      <w:r>
        <w:rPr>
          <w:rFonts w:hint="eastAsia"/>
          <w:color w:val="000000" w:themeColor="text1"/>
        </w:rPr>
        <w:t>隐患排查治理</w:t>
      </w:r>
      <w:bookmarkEnd w:id="115"/>
      <w:bookmarkEnd w:id="116"/>
      <w:bookmarkEnd w:id="117"/>
    </w:p>
    <w:p w14:paraId="16993338">
      <w:pPr>
        <w:pStyle w:val="107"/>
        <w:spacing w:before="156" w:after="156"/>
        <w:rPr>
          <w:color w:val="000000" w:themeColor="text1"/>
        </w:rPr>
      </w:pPr>
      <w:bookmarkStart w:id="118" w:name="_Toc185672270"/>
      <w:bookmarkStart w:id="119" w:name="_Toc182082989"/>
      <w:bookmarkStart w:id="120" w:name="_Toc185426286"/>
      <w:r>
        <w:rPr>
          <w:rFonts w:hint="eastAsia"/>
          <w:color w:val="000000" w:themeColor="text1"/>
        </w:rPr>
        <w:t>隐患排查治理流程</w:t>
      </w:r>
      <w:bookmarkEnd w:id="118"/>
      <w:bookmarkEnd w:id="119"/>
      <w:bookmarkEnd w:id="120"/>
    </w:p>
    <w:p w14:paraId="65B998C6">
      <w:pPr>
        <w:pStyle w:val="58"/>
        <w:ind w:firstLine="420"/>
        <w:rPr>
          <w:color w:val="000000" w:themeColor="text1"/>
        </w:rPr>
      </w:pPr>
      <w:r>
        <w:rPr>
          <w:rFonts w:hint="eastAsia"/>
          <w:color w:val="000000" w:themeColor="text1"/>
        </w:rPr>
        <w:t>隐患排查治理流程见图2。</w:t>
      </w:r>
    </w:p>
    <w:p w14:paraId="787CD35D">
      <w:pPr>
        <w:pStyle w:val="58"/>
        <w:ind w:firstLine="420"/>
        <w:jc w:val="center"/>
        <w:rPr>
          <w:color w:val="000000" w:themeColor="text1"/>
        </w:rPr>
      </w:pPr>
      <w:r>
        <w:rPr>
          <w:color w:val="000000" w:themeColor="text1"/>
        </w:rPr>
        <w:drawing>
          <wp:inline distT="0" distB="0" distL="0" distR="0">
            <wp:extent cx="2164715" cy="2975610"/>
            <wp:effectExtent l="0" t="0" r="0" b="0"/>
            <wp:docPr id="4" name="图片 2" descr="C:/Users/niuchangjiani/AppData/Local/Temp/wps.NNoYQW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niuchangjiani/AppData/Local/Temp/wps.NNoYQWwps"/>
                    <pic:cNvPicPr>
                      <a:picLocks noChangeAspect="1"/>
                    </pic:cNvPicPr>
                  </pic:nvPicPr>
                  <pic:blipFill>
                    <a:blip r:embed="rId23" cstate="print"/>
                    <a:stretch>
                      <a:fillRect/>
                    </a:stretch>
                  </pic:blipFill>
                  <pic:spPr>
                    <a:xfrm>
                      <a:off x="0" y="0"/>
                      <a:ext cx="2165965" cy="2977122"/>
                    </a:xfrm>
                    <a:prstGeom prst="rect">
                      <a:avLst/>
                    </a:prstGeom>
                  </pic:spPr>
                </pic:pic>
              </a:graphicData>
            </a:graphic>
          </wp:inline>
        </w:drawing>
      </w:r>
    </w:p>
    <w:p w14:paraId="122382D8">
      <w:pPr>
        <w:pStyle w:val="116"/>
        <w:spacing w:before="156" w:after="156"/>
        <w:rPr>
          <w:color w:val="000000" w:themeColor="text1"/>
        </w:rPr>
      </w:pPr>
      <w:r>
        <w:rPr>
          <w:rFonts w:hint="eastAsia"/>
          <w:color w:val="000000" w:themeColor="text1"/>
        </w:rPr>
        <w:t>隐患排查治理流程图</w:t>
      </w:r>
    </w:p>
    <w:p w14:paraId="446470CA">
      <w:pPr>
        <w:pStyle w:val="107"/>
        <w:spacing w:before="156" w:after="156"/>
        <w:rPr>
          <w:color w:val="000000" w:themeColor="text1"/>
        </w:rPr>
      </w:pPr>
      <w:bookmarkStart w:id="121" w:name="_Toc182082990"/>
      <w:bookmarkStart w:id="122" w:name="_Toc185426287"/>
      <w:bookmarkStart w:id="123" w:name="_Toc185672271"/>
      <w:r>
        <w:rPr>
          <w:rFonts w:hint="eastAsia"/>
          <w:color w:val="000000" w:themeColor="text1"/>
        </w:rPr>
        <w:t>隐患分</w:t>
      </w:r>
      <w:bookmarkEnd w:id="121"/>
      <w:r>
        <w:rPr>
          <w:rFonts w:hint="eastAsia"/>
          <w:color w:val="000000" w:themeColor="text1"/>
        </w:rPr>
        <w:t>类</w:t>
      </w:r>
      <w:bookmarkEnd w:id="122"/>
      <w:bookmarkEnd w:id="123"/>
    </w:p>
    <w:p w14:paraId="0CDC9932">
      <w:pPr>
        <w:pStyle w:val="167"/>
        <w:rPr>
          <w:color w:val="000000" w:themeColor="text1"/>
        </w:rPr>
      </w:pPr>
      <w:r>
        <w:rPr>
          <w:rFonts w:hint="eastAsia"/>
          <w:color w:val="000000" w:themeColor="text1"/>
          <w:lang w:val="en-US" w:eastAsia="zh-CN"/>
        </w:rPr>
        <w:t>塔式起重机</w:t>
      </w:r>
      <w:r>
        <w:rPr>
          <w:rFonts w:hint="eastAsia"/>
          <w:color w:val="000000" w:themeColor="text1"/>
        </w:rPr>
        <w:t>隐患按严重程度分为一般隐患、重大隐患。</w:t>
      </w:r>
    </w:p>
    <w:p w14:paraId="168EAD5F">
      <w:pPr>
        <w:pStyle w:val="167"/>
        <w:rPr>
          <w:color w:val="000000" w:themeColor="text1"/>
        </w:rPr>
      </w:pPr>
      <w:r>
        <w:rPr>
          <w:rFonts w:hint="eastAsia"/>
          <w:color w:val="000000" w:themeColor="text1"/>
        </w:rPr>
        <w:t>除重大隐患外的其他</w:t>
      </w:r>
      <w:r>
        <w:rPr>
          <w:rFonts w:hint="eastAsia"/>
          <w:color w:val="000000" w:themeColor="text1"/>
          <w:lang w:val="en-US" w:eastAsia="zh-CN"/>
        </w:rPr>
        <w:t>塔式起重机</w:t>
      </w:r>
      <w:r>
        <w:rPr>
          <w:rFonts w:hint="eastAsia"/>
          <w:color w:val="000000" w:themeColor="text1"/>
        </w:rPr>
        <w:t>事故隐患均为一般隐患，包括但不限于以下情况：</w:t>
      </w:r>
    </w:p>
    <w:p w14:paraId="6C545A1E">
      <w:pPr>
        <w:pStyle w:val="134"/>
        <w:rPr>
          <w:color w:val="000000" w:themeColor="text1"/>
        </w:rPr>
      </w:pPr>
      <w:r>
        <w:rPr>
          <w:rFonts w:hint="eastAsia"/>
          <w:color w:val="000000" w:themeColor="text1"/>
        </w:rPr>
        <w:t>违反使用单位内部管理制度的行为或状态；</w:t>
      </w:r>
    </w:p>
    <w:p w14:paraId="2AD97EBB">
      <w:pPr>
        <w:pStyle w:val="134"/>
        <w:rPr>
          <w:color w:val="000000" w:themeColor="text1"/>
        </w:rPr>
      </w:pPr>
      <w:r>
        <w:rPr>
          <w:rFonts w:hint="eastAsia"/>
          <w:color w:val="000000" w:themeColor="text1"/>
        </w:rPr>
        <w:t>风险易于管控，整改难度较小，发现后能够立即整改排除的隐患。</w:t>
      </w:r>
    </w:p>
    <w:p w14:paraId="3AF94330">
      <w:pPr>
        <w:pStyle w:val="167"/>
        <w:rPr>
          <w:color w:val="000000" w:themeColor="text1"/>
        </w:rPr>
      </w:pPr>
      <w:r>
        <w:rPr>
          <w:rFonts w:hint="eastAsia"/>
          <w:color w:val="000000" w:themeColor="text1"/>
        </w:rPr>
        <w:t>存在GB 45067规定的</w:t>
      </w:r>
      <w:r>
        <w:rPr>
          <w:rFonts w:hint="eastAsia"/>
          <w:color w:val="000000" w:themeColor="text1"/>
          <w:lang w:val="en-US" w:eastAsia="zh-CN"/>
        </w:rPr>
        <w:t>塔式起重机</w:t>
      </w:r>
      <w:r>
        <w:rPr>
          <w:rFonts w:hint="eastAsia" w:hAnsi="宋体"/>
          <w:color w:val="000000" w:themeColor="text1"/>
        </w:rPr>
        <w:t>相关</w:t>
      </w:r>
      <w:r>
        <w:rPr>
          <w:rFonts w:hint="eastAsia"/>
          <w:color w:val="000000" w:themeColor="text1"/>
        </w:rPr>
        <w:t>情形及下列情况之一的为重大隐患：</w:t>
      </w:r>
    </w:p>
    <w:p w14:paraId="3A032183">
      <w:pPr>
        <w:pStyle w:val="134"/>
        <w:rPr>
          <w:color w:val="000000" w:themeColor="text1"/>
        </w:rPr>
      </w:pPr>
      <w:r>
        <w:rPr>
          <w:rFonts w:hint="eastAsia"/>
          <w:color w:val="000000" w:themeColor="text1"/>
        </w:rPr>
        <w:t>违反特种设备</w:t>
      </w:r>
      <w:r>
        <w:rPr>
          <w:rFonts w:hint="eastAsia"/>
          <w:color w:val="000000" w:themeColor="text1"/>
          <w:lang w:eastAsia="zh-CN"/>
        </w:rPr>
        <w:t>法律法规</w:t>
      </w:r>
      <w:r>
        <w:rPr>
          <w:rFonts w:hint="eastAsia"/>
          <w:color w:val="000000" w:themeColor="text1"/>
        </w:rPr>
        <w:t>，应依法责令改正并处罚款的行为；</w:t>
      </w:r>
    </w:p>
    <w:p w14:paraId="73F3B2FA">
      <w:pPr>
        <w:pStyle w:val="134"/>
        <w:rPr>
          <w:color w:val="000000" w:themeColor="text1"/>
        </w:rPr>
      </w:pPr>
      <w:r>
        <w:rPr>
          <w:rFonts w:hint="eastAsia"/>
          <w:color w:val="000000" w:themeColor="text1"/>
        </w:rPr>
        <w:t>违反</w:t>
      </w:r>
      <w:r>
        <w:rPr>
          <w:rFonts w:hint="eastAsia"/>
          <w:color w:val="000000" w:themeColor="text1"/>
          <w:lang w:val="en-US" w:eastAsia="zh-CN"/>
        </w:rPr>
        <w:t>塔式起重机</w:t>
      </w:r>
      <w:r>
        <w:rPr>
          <w:rFonts w:hint="eastAsia"/>
          <w:color w:val="000000" w:themeColor="text1"/>
        </w:rPr>
        <w:t>安全技术规范及相关标准，可能导致一般事故及其以上的隐患；</w:t>
      </w:r>
    </w:p>
    <w:p w14:paraId="29099F88">
      <w:pPr>
        <w:pStyle w:val="134"/>
        <w:rPr>
          <w:color w:val="000000" w:themeColor="text1"/>
        </w:rPr>
      </w:pPr>
      <w:r>
        <w:rPr>
          <w:rFonts w:hint="eastAsia"/>
          <w:color w:val="000000" w:themeColor="text1"/>
        </w:rPr>
        <w:t>风险管控缺失、失效，可能导致一般事故及其以上的隐患；</w:t>
      </w:r>
    </w:p>
    <w:p w14:paraId="677BB40D">
      <w:pPr>
        <w:pStyle w:val="134"/>
        <w:rPr>
          <w:color w:val="000000" w:themeColor="text1"/>
        </w:rPr>
      </w:pPr>
      <w:r>
        <w:rPr>
          <w:rFonts w:hint="eastAsia"/>
          <w:color w:val="000000" w:themeColor="text1"/>
        </w:rPr>
        <w:t>危害和整改难度较大，</w:t>
      </w:r>
      <w:r>
        <w:rPr>
          <w:rFonts w:hint="eastAsia"/>
          <w:color w:val="000000" w:themeColor="text1"/>
          <w:lang w:val="en-US" w:eastAsia="zh-CN"/>
        </w:rPr>
        <w:t>塔式起重机</w:t>
      </w:r>
      <w:r>
        <w:rPr>
          <w:rFonts w:hint="eastAsia"/>
          <w:color w:val="000000" w:themeColor="text1"/>
        </w:rPr>
        <w:t>应当停止运行，并经过一定时间整改治理方能</w:t>
      </w:r>
      <w:r>
        <w:rPr>
          <w:rFonts w:hint="eastAsia"/>
          <w:color w:val="000000" w:themeColor="text1"/>
          <w:lang w:eastAsia="zh-CN"/>
        </w:rPr>
        <w:t>排除</w:t>
      </w:r>
      <w:r>
        <w:rPr>
          <w:rFonts w:hint="eastAsia"/>
          <w:color w:val="000000" w:themeColor="text1"/>
        </w:rPr>
        <w:t>隐患；</w:t>
      </w:r>
    </w:p>
    <w:p w14:paraId="5B2C9978">
      <w:pPr>
        <w:pStyle w:val="134"/>
        <w:rPr>
          <w:color w:val="000000" w:themeColor="text1"/>
        </w:rPr>
      </w:pPr>
      <w:r>
        <w:rPr>
          <w:rFonts w:hint="eastAsia"/>
          <w:color w:val="000000" w:themeColor="text1"/>
        </w:rPr>
        <w:t>因外部因素影响致使使用单位自身难以排除的隐患。</w:t>
      </w:r>
    </w:p>
    <w:p w14:paraId="4438B352">
      <w:pPr>
        <w:pStyle w:val="107"/>
        <w:spacing w:before="156" w:after="156"/>
        <w:rPr>
          <w:color w:val="000000" w:themeColor="text1"/>
        </w:rPr>
      </w:pPr>
      <w:bookmarkStart w:id="124" w:name="_Toc185426288"/>
      <w:bookmarkStart w:id="125" w:name="_Toc185672272"/>
      <w:bookmarkStart w:id="126" w:name="_Toc182082991"/>
      <w:r>
        <w:rPr>
          <w:rFonts w:hint="eastAsia"/>
          <w:color w:val="000000" w:themeColor="text1"/>
        </w:rPr>
        <w:t>制定隐患排查计划</w:t>
      </w:r>
      <w:bookmarkEnd w:id="124"/>
      <w:bookmarkEnd w:id="125"/>
      <w:bookmarkEnd w:id="126"/>
    </w:p>
    <w:p w14:paraId="43701F7E">
      <w:pPr>
        <w:pStyle w:val="167"/>
        <w:rPr>
          <w:color w:val="000000" w:themeColor="text1"/>
        </w:rPr>
      </w:pPr>
      <w:r>
        <w:rPr>
          <w:rFonts w:hint="eastAsia"/>
          <w:color w:val="000000" w:themeColor="text1"/>
        </w:rPr>
        <w:t>隐患排查计划应明确隐患排查的内容、方式、人员和频次。</w:t>
      </w:r>
    </w:p>
    <w:p w14:paraId="2182C5A0">
      <w:pPr>
        <w:pStyle w:val="167"/>
        <w:rPr>
          <w:color w:val="000000" w:themeColor="text1"/>
        </w:rPr>
      </w:pPr>
      <w:r>
        <w:rPr>
          <w:rFonts w:hint="eastAsia"/>
          <w:color w:val="000000" w:themeColor="text1"/>
        </w:rPr>
        <w:t>使用单位应定期组织</w:t>
      </w:r>
      <w:r>
        <w:rPr>
          <w:rFonts w:hint="eastAsia"/>
          <w:color w:val="000000" w:themeColor="text1"/>
          <w:lang w:val="en-US" w:eastAsia="zh-CN"/>
        </w:rPr>
        <w:t>塔式起重机</w:t>
      </w:r>
      <w:r>
        <w:rPr>
          <w:rFonts w:hint="eastAsia"/>
          <w:color w:val="000000" w:themeColor="text1"/>
        </w:rPr>
        <w:t>安全员和其他相关人员进行全面的隐患排查，排查内容主要包括但不限于：</w:t>
      </w:r>
    </w:p>
    <w:p w14:paraId="769E0998">
      <w:pPr>
        <w:pStyle w:val="134"/>
        <w:rPr>
          <w:color w:val="000000" w:themeColor="text1"/>
        </w:rPr>
      </w:pPr>
      <w:r>
        <w:rPr>
          <w:rFonts w:hint="eastAsia"/>
          <w:color w:val="000000" w:themeColor="text1"/>
          <w:lang w:val="en-US" w:eastAsia="zh-CN"/>
        </w:rPr>
        <w:t>塔式起重机法律法规</w:t>
      </w:r>
      <w:r>
        <w:rPr>
          <w:rFonts w:hint="eastAsia"/>
          <w:color w:val="000000" w:themeColor="text1"/>
        </w:rPr>
        <w:t>、规章、安全技术规范和标准的贯彻执行情况，安全生产责任制、安全管理制度、岗位操作规范的建立落实情况；</w:t>
      </w:r>
    </w:p>
    <w:p w14:paraId="105B27A8">
      <w:pPr>
        <w:pStyle w:val="134"/>
        <w:rPr>
          <w:color w:val="000000" w:themeColor="text1"/>
        </w:rPr>
      </w:pPr>
      <w:r>
        <w:rPr>
          <w:rFonts w:hint="eastAsia"/>
          <w:color w:val="000000" w:themeColor="text1"/>
        </w:rPr>
        <w:t>应急（救援）预案制定，维护和使用方法的培训情况；</w:t>
      </w:r>
    </w:p>
    <w:p w14:paraId="1FC69583">
      <w:pPr>
        <w:pStyle w:val="134"/>
        <w:rPr>
          <w:color w:val="000000" w:themeColor="text1"/>
        </w:rPr>
      </w:pPr>
      <w:r>
        <w:rPr>
          <w:rFonts w:hint="eastAsia"/>
          <w:color w:val="000000" w:themeColor="text1"/>
          <w:lang w:val="en-US" w:eastAsia="zh-CN"/>
        </w:rPr>
        <w:t>塔式起重机</w:t>
      </w:r>
      <w:r>
        <w:rPr>
          <w:rFonts w:hint="eastAsia"/>
          <w:color w:val="000000" w:themeColor="text1"/>
        </w:rPr>
        <w:t>运行状况和日常维护、保养、日常巡查、检验、检测情况；</w:t>
      </w:r>
    </w:p>
    <w:p w14:paraId="5CD49A21">
      <w:pPr>
        <w:pStyle w:val="134"/>
        <w:rPr>
          <w:color w:val="000000" w:themeColor="text1"/>
        </w:rPr>
      </w:pPr>
      <w:r>
        <w:rPr>
          <w:rFonts w:hint="eastAsia"/>
          <w:color w:val="000000" w:themeColor="text1"/>
        </w:rPr>
        <w:t>从业人员接受安全教育培训、掌握安全知识和操作技能情况，培训考核和持证上岗情况；</w:t>
      </w:r>
    </w:p>
    <w:p w14:paraId="0D44B22D">
      <w:pPr>
        <w:pStyle w:val="134"/>
        <w:rPr>
          <w:color w:val="000000" w:themeColor="text1"/>
        </w:rPr>
      </w:pPr>
      <w:r>
        <w:rPr>
          <w:rFonts w:hint="eastAsia"/>
          <w:color w:val="000000" w:themeColor="text1"/>
        </w:rPr>
        <w:t>风险辨识分级管控制度的建立及措施落实情况。</w:t>
      </w:r>
    </w:p>
    <w:p w14:paraId="276FD98D">
      <w:pPr>
        <w:pStyle w:val="107"/>
        <w:spacing w:before="156" w:after="156"/>
        <w:rPr>
          <w:color w:val="000000" w:themeColor="text1"/>
        </w:rPr>
      </w:pPr>
      <w:bookmarkStart w:id="127" w:name="_Toc182082992"/>
      <w:bookmarkStart w:id="128" w:name="_Toc185426289"/>
      <w:bookmarkStart w:id="129" w:name="_Toc185672273"/>
      <w:r>
        <w:rPr>
          <w:rFonts w:hint="eastAsia"/>
          <w:color w:val="000000" w:themeColor="text1"/>
        </w:rPr>
        <w:t>隐患排查</w:t>
      </w:r>
      <w:bookmarkEnd w:id="127"/>
      <w:bookmarkEnd w:id="128"/>
      <w:bookmarkEnd w:id="129"/>
    </w:p>
    <w:p w14:paraId="78BAABA6">
      <w:pPr>
        <w:pStyle w:val="167"/>
        <w:rPr>
          <w:color w:val="000000" w:themeColor="text1"/>
        </w:rPr>
      </w:pPr>
      <w:r>
        <w:rPr>
          <w:rFonts w:hint="eastAsia"/>
          <w:color w:val="000000" w:themeColor="text1"/>
        </w:rPr>
        <w:t xml:space="preserve">使用单位应按照隐患排查计划组织人员进行隐患排查，填写隐患排查记录（见附录D），形成隐患问题清单。 </w:t>
      </w:r>
    </w:p>
    <w:p w14:paraId="244D48F2">
      <w:pPr>
        <w:pStyle w:val="167"/>
        <w:rPr>
          <w:color w:val="000000" w:themeColor="text1"/>
        </w:rPr>
      </w:pPr>
      <w:r>
        <w:rPr>
          <w:rFonts w:hint="eastAsia"/>
          <w:color w:val="000000" w:themeColor="text1"/>
        </w:rPr>
        <w:t>对于排查发现的重大隐患，要立即向</w:t>
      </w:r>
      <w:r>
        <w:rPr>
          <w:rFonts w:hint="eastAsia"/>
          <w:color w:val="000000" w:themeColor="text1"/>
          <w:lang w:val="en-US" w:eastAsia="zh-CN"/>
        </w:rPr>
        <w:t>塔式起重机</w:t>
      </w:r>
      <w:r>
        <w:rPr>
          <w:rFonts w:hint="eastAsia"/>
          <w:color w:val="000000" w:themeColor="text1"/>
        </w:rPr>
        <w:t>使用单位主要负责人和特种设备安全监督管理部门报告。重大隐患排除前或者排除过程中无法保证安全的，应停止使用相关设备。</w:t>
      </w:r>
    </w:p>
    <w:p w14:paraId="706F2F90">
      <w:pPr>
        <w:pStyle w:val="167"/>
        <w:rPr>
          <w:color w:val="000000" w:themeColor="text1"/>
        </w:rPr>
      </w:pPr>
      <w:r>
        <w:rPr>
          <w:rFonts w:hint="eastAsia"/>
          <w:color w:val="000000" w:themeColor="text1"/>
        </w:rPr>
        <w:t>使用单位应及时将隐患名称、位置、不符合状况、隐患等级、治理期限及治理措施等信息向内部员工通报。</w:t>
      </w:r>
    </w:p>
    <w:p w14:paraId="79712362">
      <w:pPr>
        <w:pStyle w:val="107"/>
        <w:spacing w:before="156" w:after="156"/>
        <w:rPr>
          <w:color w:val="000000" w:themeColor="text1"/>
        </w:rPr>
      </w:pPr>
      <w:bookmarkStart w:id="130" w:name="_Toc185672274"/>
      <w:bookmarkStart w:id="131" w:name="_Toc182082993"/>
      <w:bookmarkStart w:id="132" w:name="_Toc185426290"/>
      <w:r>
        <w:rPr>
          <w:rFonts w:hint="eastAsia"/>
          <w:color w:val="000000" w:themeColor="text1"/>
        </w:rPr>
        <w:t>隐患治理</w:t>
      </w:r>
      <w:bookmarkEnd w:id="130"/>
      <w:bookmarkEnd w:id="131"/>
      <w:bookmarkEnd w:id="132"/>
    </w:p>
    <w:p w14:paraId="5BE78D38">
      <w:pPr>
        <w:pStyle w:val="167"/>
        <w:rPr>
          <w:color w:val="000000" w:themeColor="text1"/>
        </w:rPr>
      </w:pPr>
      <w:r>
        <w:rPr>
          <w:rFonts w:hint="eastAsia"/>
          <w:color w:val="000000" w:themeColor="text1"/>
        </w:rPr>
        <w:t>隐患排查组织部门应下达隐患整改通知书，建立隐患排查治理台账（见附录E）。</w:t>
      </w:r>
    </w:p>
    <w:p w14:paraId="139FF1C6">
      <w:pPr>
        <w:pStyle w:val="167"/>
        <w:rPr>
          <w:color w:val="000000" w:themeColor="text1"/>
        </w:rPr>
      </w:pPr>
      <w:r>
        <w:rPr>
          <w:rFonts w:hint="eastAsia"/>
          <w:color w:val="000000" w:themeColor="text1"/>
        </w:rPr>
        <w:t>在实施隐患治理前，对隐患存在的原因进行分析，并制定可靠的治理措施。</w:t>
      </w:r>
    </w:p>
    <w:p w14:paraId="742630FC">
      <w:pPr>
        <w:pStyle w:val="167"/>
        <w:rPr>
          <w:color w:val="000000" w:themeColor="text1"/>
        </w:rPr>
      </w:pPr>
      <w:r>
        <w:rPr>
          <w:rFonts w:hint="eastAsia"/>
          <w:color w:val="000000" w:themeColor="text1"/>
        </w:rPr>
        <w:t xml:space="preserve">对于一般隐患，责任部门负责人应立即组织整改。 </w:t>
      </w:r>
    </w:p>
    <w:p w14:paraId="6F4EA20F">
      <w:pPr>
        <w:pStyle w:val="167"/>
        <w:rPr>
          <w:color w:val="000000" w:themeColor="text1"/>
        </w:rPr>
      </w:pPr>
      <w:r>
        <w:rPr>
          <w:rFonts w:hint="eastAsia"/>
          <w:color w:val="000000" w:themeColor="text1"/>
        </w:rPr>
        <w:t>对于重大隐患，</w:t>
      </w:r>
      <w:r>
        <w:rPr>
          <w:rFonts w:hint="eastAsia"/>
          <w:color w:val="000000" w:themeColor="text1"/>
          <w:lang w:val="en-US" w:eastAsia="zh-CN"/>
        </w:rPr>
        <w:t>塔式起重机</w:t>
      </w:r>
      <w:r>
        <w:rPr>
          <w:rFonts w:hint="eastAsia"/>
          <w:color w:val="000000" w:themeColor="text1"/>
        </w:rPr>
        <w:t>安全总监应组织制定并实施严格的隐患治理方案，方案应至少包括下列内容：</w:t>
      </w:r>
    </w:p>
    <w:p w14:paraId="1454AD97">
      <w:pPr>
        <w:pStyle w:val="134"/>
        <w:rPr>
          <w:color w:val="000000" w:themeColor="text1"/>
        </w:rPr>
      </w:pPr>
      <w:r>
        <w:rPr>
          <w:rFonts w:hint="eastAsia"/>
          <w:color w:val="000000" w:themeColor="text1"/>
        </w:rPr>
        <w:t>治理的目标和任务；</w:t>
      </w:r>
    </w:p>
    <w:p w14:paraId="54A298FF">
      <w:pPr>
        <w:pStyle w:val="134"/>
        <w:rPr>
          <w:color w:val="000000" w:themeColor="text1"/>
        </w:rPr>
      </w:pPr>
      <w:r>
        <w:rPr>
          <w:rFonts w:hint="eastAsia"/>
          <w:color w:val="000000" w:themeColor="text1"/>
        </w:rPr>
        <w:t>负责治理的机构和人员；</w:t>
      </w:r>
    </w:p>
    <w:p w14:paraId="3E97E0C0">
      <w:pPr>
        <w:pStyle w:val="134"/>
        <w:rPr>
          <w:color w:val="000000" w:themeColor="text1"/>
        </w:rPr>
      </w:pPr>
      <w:r>
        <w:rPr>
          <w:rFonts w:hint="eastAsia"/>
          <w:color w:val="000000" w:themeColor="text1"/>
        </w:rPr>
        <w:t xml:space="preserve">采取的方法和措施； </w:t>
      </w:r>
    </w:p>
    <w:p w14:paraId="3CAC1039">
      <w:pPr>
        <w:pStyle w:val="134"/>
        <w:rPr>
          <w:color w:val="000000" w:themeColor="text1"/>
        </w:rPr>
      </w:pPr>
      <w:r>
        <w:rPr>
          <w:rFonts w:hint="eastAsia"/>
          <w:color w:val="000000" w:themeColor="text1"/>
        </w:rPr>
        <w:t>经费和物资的落实；</w:t>
      </w:r>
    </w:p>
    <w:p w14:paraId="0697841A">
      <w:pPr>
        <w:pStyle w:val="134"/>
        <w:rPr>
          <w:color w:val="000000" w:themeColor="text1"/>
        </w:rPr>
      </w:pPr>
      <w:r>
        <w:rPr>
          <w:rFonts w:hint="eastAsia"/>
          <w:color w:val="000000" w:themeColor="text1"/>
        </w:rPr>
        <w:t>治理的时限和要求；</w:t>
      </w:r>
    </w:p>
    <w:p w14:paraId="2E4A3005">
      <w:pPr>
        <w:pStyle w:val="134"/>
        <w:rPr>
          <w:color w:val="000000" w:themeColor="text1"/>
        </w:rPr>
      </w:pPr>
      <w:r>
        <w:rPr>
          <w:rFonts w:hint="eastAsia"/>
          <w:color w:val="000000" w:themeColor="text1"/>
        </w:rPr>
        <w:t>安全措施和应急预案。</w:t>
      </w:r>
    </w:p>
    <w:p w14:paraId="42093A19">
      <w:pPr>
        <w:pStyle w:val="107"/>
        <w:spacing w:before="156" w:after="156"/>
        <w:rPr>
          <w:color w:val="000000" w:themeColor="text1"/>
        </w:rPr>
      </w:pPr>
      <w:bookmarkStart w:id="133" w:name="_Toc185672275"/>
      <w:bookmarkStart w:id="134" w:name="_Toc185426291"/>
      <w:bookmarkStart w:id="135" w:name="_Toc182082994"/>
      <w:r>
        <w:rPr>
          <w:rFonts w:hint="eastAsia"/>
          <w:color w:val="000000" w:themeColor="text1"/>
        </w:rPr>
        <w:t>隐患治理验收</w:t>
      </w:r>
      <w:bookmarkEnd w:id="133"/>
      <w:bookmarkEnd w:id="134"/>
      <w:bookmarkEnd w:id="135"/>
    </w:p>
    <w:p w14:paraId="5D7BC7FF">
      <w:pPr>
        <w:pStyle w:val="167"/>
        <w:rPr>
          <w:color w:val="000000" w:themeColor="text1"/>
        </w:rPr>
      </w:pPr>
      <w:r>
        <w:rPr>
          <w:rFonts w:hint="eastAsia"/>
          <w:color w:val="000000" w:themeColor="text1"/>
        </w:rPr>
        <w:t>隐患治理完成后，使用单位应按照隐患级别组织人员对治理情况进行验收，填写隐患排查治理台账。</w:t>
      </w:r>
    </w:p>
    <w:p w14:paraId="26BC9260">
      <w:pPr>
        <w:pStyle w:val="167"/>
        <w:rPr>
          <w:color w:val="000000" w:themeColor="text1"/>
        </w:rPr>
      </w:pPr>
      <w:r>
        <w:rPr>
          <w:rFonts w:hint="eastAsia"/>
          <w:color w:val="000000" w:themeColor="text1"/>
        </w:rPr>
        <w:t>重大隐患治理工作结束后，使用单位应组织本单位的技术人员和专家对重大隐患的治理情况进行评估或者委托具备相应能力的</w:t>
      </w:r>
      <w:r>
        <w:rPr>
          <w:rFonts w:hint="eastAsia"/>
          <w:color w:val="000000" w:themeColor="text1"/>
          <w:lang w:val="en-US" w:eastAsia="zh-CN"/>
        </w:rPr>
        <w:t>塔式起重机</w:t>
      </w:r>
      <w:r>
        <w:rPr>
          <w:rFonts w:hint="eastAsia"/>
          <w:color w:val="000000" w:themeColor="text1"/>
        </w:rPr>
        <w:t>检验机构对重大隐患的治理情况进行评估。</w:t>
      </w:r>
    </w:p>
    <w:p w14:paraId="69A1D3FC">
      <w:pPr>
        <w:pStyle w:val="167"/>
        <w:rPr>
          <w:color w:val="000000" w:themeColor="text1"/>
        </w:rPr>
      </w:pPr>
      <w:r>
        <w:rPr>
          <w:rFonts w:hint="eastAsia"/>
          <w:color w:val="000000" w:themeColor="text1"/>
        </w:rPr>
        <w:t>对负责特种设备安全监督管理部门或检验、检测机构发现重大隐患并责令</w:t>
      </w:r>
      <w:r>
        <w:rPr>
          <w:rFonts w:hint="eastAsia"/>
          <w:color w:val="000000" w:themeColor="text1"/>
          <w:lang w:val="en-US" w:eastAsia="zh-CN"/>
        </w:rPr>
        <w:t>塔式起重机</w:t>
      </w:r>
      <w:r>
        <w:rPr>
          <w:rFonts w:hint="eastAsia"/>
          <w:color w:val="000000" w:themeColor="text1"/>
        </w:rPr>
        <w:t>停用的，使用单位在完成治理并经评估符合设备启用条件后，还应按规定向负责特种设备安全监督管理的部门提出恢复使用的书面申请，经审查同意后，方可启用设备。</w:t>
      </w:r>
    </w:p>
    <w:p w14:paraId="64BAA5C9">
      <w:pPr>
        <w:pStyle w:val="167"/>
        <w:rPr>
          <w:color w:val="000000" w:themeColor="text1"/>
        </w:rPr>
      </w:pPr>
      <w:r>
        <w:rPr>
          <w:rFonts w:hint="eastAsia"/>
          <w:color w:val="000000" w:themeColor="text1"/>
        </w:rPr>
        <w:t>使用单位建立隐患排查治理的安全技术档案，主要内容至少包括：</w:t>
      </w:r>
    </w:p>
    <w:p w14:paraId="2D240A85">
      <w:pPr>
        <w:pStyle w:val="134"/>
      </w:pPr>
      <w:r>
        <w:rPr>
          <w:rFonts w:hint="eastAsia"/>
        </w:rPr>
        <w:t>隐患排查计划；</w:t>
      </w:r>
    </w:p>
    <w:p w14:paraId="24CCB70F">
      <w:pPr>
        <w:pStyle w:val="134"/>
      </w:pPr>
      <w:r>
        <w:rPr>
          <w:rFonts w:hint="eastAsia"/>
        </w:rPr>
        <w:t>隐患排查任务清单；</w:t>
      </w:r>
    </w:p>
    <w:p w14:paraId="488E3A44">
      <w:pPr>
        <w:pStyle w:val="134"/>
      </w:pPr>
      <w:r>
        <w:rPr>
          <w:rFonts w:hint="eastAsia"/>
        </w:rPr>
        <w:t>隐患排查记录；</w:t>
      </w:r>
    </w:p>
    <w:p w14:paraId="2F9E3F71">
      <w:pPr>
        <w:pStyle w:val="134"/>
      </w:pPr>
      <w:r>
        <w:rPr>
          <w:rFonts w:hint="eastAsia"/>
        </w:rPr>
        <w:t>隐患治理方案；</w:t>
      </w:r>
    </w:p>
    <w:p w14:paraId="14E0E016">
      <w:pPr>
        <w:pStyle w:val="134"/>
      </w:pPr>
      <w:r>
        <w:rPr>
          <w:rFonts w:hint="eastAsia"/>
        </w:rPr>
        <w:t>隐患排查治理台账。</w:t>
      </w:r>
    </w:p>
    <w:p w14:paraId="05775620">
      <w:pPr>
        <w:pStyle w:val="107"/>
        <w:spacing w:before="156" w:after="156"/>
        <w:rPr>
          <w:color w:val="000000" w:themeColor="text1"/>
        </w:rPr>
      </w:pPr>
      <w:bookmarkStart w:id="136" w:name="_Toc185672276"/>
      <w:bookmarkStart w:id="137" w:name="_Toc182082995"/>
      <w:bookmarkStart w:id="138" w:name="_Toc185426292"/>
      <w:r>
        <w:rPr>
          <w:rFonts w:hint="eastAsia"/>
          <w:color w:val="000000" w:themeColor="text1"/>
        </w:rPr>
        <w:t>隐患分析</w:t>
      </w:r>
      <w:bookmarkEnd w:id="136"/>
      <w:bookmarkEnd w:id="137"/>
      <w:bookmarkEnd w:id="138"/>
    </w:p>
    <w:p w14:paraId="70B19304">
      <w:pPr>
        <w:pStyle w:val="167"/>
        <w:rPr>
          <w:color w:val="000000" w:themeColor="text1"/>
        </w:rPr>
      </w:pPr>
      <w:r>
        <w:rPr>
          <w:rFonts w:hint="eastAsia"/>
          <w:color w:val="000000" w:themeColor="text1"/>
        </w:rPr>
        <w:t>使用</w:t>
      </w:r>
      <w:r>
        <w:rPr>
          <w:color w:val="000000" w:themeColor="text1"/>
        </w:rPr>
        <w:t>单位每年应对隐患排查治理情况进行统计分析。分析内容至少包括以下方面：</w:t>
      </w:r>
    </w:p>
    <w:p w14:paraId="29B54397">
      <w:pPr>
        <w:pStyle w:val="134"/>
      </w:pPr>
      <w:r>
        <w:rPr>
          <w:rFonts w:hint="eastAsia"/>
        </w:rPr>
        <w:t>不同类型隐患占比；</w:t>
      </w:r>
    </w:p>
    <w:p w14:paraId="48910784">
      <w:pPr>
        <w:pStyle w:val="134"/>
      </w:pPr>
      <w:r>
        <w:rPr>
          <w:rFonts w:hint="eastAsia"/>
        </w:rPr>
        <w:t>不同月度、季度等周期占比。</w:t>
      </w:r>
    </w:p>
    <w:p w14:paraId="1D3244A0">
      <w:pPr>
        <w:pStyle w:val="167"/>
        <w:rPr>
          <w:color w:val="000000" w:themeColor="text1"/>
        </w:rPr>
      </w:pPr>
      <w:r>
        <w:rPr>
          <w:color w:val="000000" w:themeColor="text1"/>
        </w:rPr>
        <w:t>同一类型隐患反复发生，应深入剖析原因，分析是否存在制度、机制缺陷以及之前治理措施的有效性，以便持续改进</w:t>
      </w:r>
      <w:r>
        <w:rPr>
          <w:rFonts w:hint="eastAsia"/>
          <w:color w:val="000000" w:themeColor="text1"/>
        </w:rPr>
        <w:t>。</w:t>
      </w:r>
    </w:p>
    <w:p w14:paraId="4E305D49">
      <w:pPr>
        <w:pStyle w:val="167"/>
        <w:rPr>
          <w:color w:val="000000" w:themeColor="text1"/>
        </w:rPr>
      </w:pPr>
      <w:r>
        <w:rPr>
          <w:color w:val="000000" w:themeColor="text1"/>
        </w:rPr>
        <w:t>同一区域发现隐患的数量持续</w:t>
      </w:r>
      <w:r>
        <w:rPr>
          <w:rFonts w:hint="eastAsia"/>
          <w:color w:val="000000" w:themeColor="text1"/>
        </w:rPr>
        <w:t>增加</w:t>
      </w:r>
      <w:r>
        <w:rPr>
          <w:color w:val="000000" w:themeColor="text1"/>
        </w:rPr>
        <w:t>，持续增加的区域</w:t>
      </w:r>
      <w:r>
        <w:rPr>
          <w:rFonts w:hint="eastAsia"/>
          <w:color w:val="000000" w:themeColor="text1"/>
        </w:rPr>
        <w:t>应</w:t>
      </w:r>
      <w:r>
        <w:rPr>
          <w:color w:val="000000" w:themeColor="text1"/>
        </w:rPr>
        <w:t>重点分析区域内相关管理人员安全责任落实情况或者其他原因。</w:t>
      </w:r>
    </w:p>
    <w:p w14:paraId="0D722F2E">
      <w:pPr>
        <w:pStyle w:val="106"/>
        <w:spacing w:before="312" w:after="312"/>
        <w:rPr>
          <w:color w:val="000000" w:themeColor="text1"/>
        </w:rPr>
      </w:pPr>
      <w:bookmarkStart w:id="139" w:name="_Toc185426293"/>
      <w:bookmarkStart w:id="140" w:name="_Toc182082996"/>
      <w:bookmarkStart w:id="141" w:name="_Toc185672277"/>
      <w:r>
        <w:rPr>
          <w:rFonts w:hint="eastAsia"/>
          <w:color w:val="000000" w:themeColor="text1"/>
        </w:rPr>
        <w:t>文件管理</w:t>
      </w:r>
      <w:bookmarkEnd w:id="139"/>
      <w:bookmarkEnd w:id="140"/>
      <w:bookmarkEnd w:id="141"/>
    </w:p>
    <w:p w14:paraId="615CDC13">
      <w:pPr>
        <w:pStyle w:val="164"/>
      </w:pPr>
      <w:r>
        <w:rPr>
          <w:rFonts w:hint="eastAsia"/>
        </w:rPr>
        <w:t>使用单位应完整保存体现风险管控和隐患排查治理过程的记录资料，并分类建档管理。记录资料至少包括下列内容：</w:t>
      </w:r>
    </w:p>
    <w:p w14:paraId="18C4A80F">
      <w:pPr>
        <w:pStyle w:val="134"/>
        <w:rPr>
          <w:color w:val="000000" w:themeColor="text1"/>
        </w:rPr>
      </w:pPr>
      <w:r>
        <w:rPr>
          <w:rFonts w:hint="eastAsia"/>
          <w:color w:val="000000" w:themeColor="text1"/>
        </w:rPr>
        <w:t>风险管控制度；</w:t>
      </w:r>
    </w:p>
    <w:p w14:paraId="35E98658">
      <w:pPr>
        <w:pStyle w:val="134"/>
        <w:rPr>
          <w:color w:val="000000" w:themeColor="text1"/>
        </w:rPr>
      </w:pPr>
      <w:r>
        <w:rPr>
          <w:rFonts w:hint="eastAsia"/>
          <w:color w:val="000000" w:themeColor="text1"/>
        </w:rPr>
        <w:t>安全分析评价记录表；</w:t>
      </w:r>
    </w:p>
    <w:p w14:paraId="35DD968E">
      <w:pPr>
        <w:pStyle w:val="134"/>
        <w:rPr>
          <w:color w:val="000000" w:themeColor="text1"/>
        </w:rPr>
      </w:pPr>
      <w:r>
        <w:rPr>
          <w:rFonts w:hint="eastAsia"/>
          <w:color w:val="000000" w:themeColor="text1"/>
        </w:rPr>
        <w:t>风险分级管控清单；</w:t>
      </w:r>
    </w:p>
    <w:p w14:paraId="5D2B3772">
      <w:pPr>
        <w:pStyle w:val="134"/>
        <w:rPr>
          <w:color w:val="000000" w:themeColor="text1"/>
        </w:rPr>
      </w:pPr>
      <w:r>
        <w:rPr>
          <w:rFonts w:hint="eastAsia"/>
          <w:color w:val="000000" w:themeColor="text1"/>
        </w:rPr>
        <w:t>隐患排查治理制度；</w:t>
      </w:r>
    </w:p>
    <w:p w14:paraId="4E441460">
      <w:pPr>
        <w:pStyle w:val="134"/>
        <w:rPr>
          <w:color w:val="000000" w:themeColor="text1"/>
        </w:rPr>
      </w:pPr>
      <w:r>
        <w:rPr>
          <w:rFonts w:hint="eastAsia"/>
          <w:color w:val="000000" w:themeColor="text1"/>
        </w:rPr>
        <w:t>隐患排查治理台账。</w:t>
      </w:r>
    </w:p>
    <w:p w14:paraId="48ABC3DA">
      <w:pPr>
        <w:pStyle w:val="164"/>
      </w:pPr>
      <w:r>
        <w:rPr>
          <w:rFonts w:hint="eastAsia"/>
        </w:rPr>
        <w:t>涉及重大风险、重大隐患时，其辨识、评价、整改过程记录，风险控制措施及其实施、改进记录和隐患排查治理台账等，应单独建档管理。</w:t>
      </w:r>
    </w:p>
    <w:p w14:paraId="2C75C1BE">
      <w:pPr>
        <w:pStyle w:val="106"/>
        <w:spacing w:before="312" w:after="312"/>
        <w:rPr>
          <w:color w:val="000000" w:themeColor="text1"/>
        </w:rPr>
      </w:pPr>
      <w:bookmarkStart w:id="142" w:name="_Toc182082997"/>
      <w:bookmarkStart w:id="143" w:name="_Toc185672278"/>
      <w:bookmarkStart w:id="144" w:name="_Toc185426294"/>
      <w:r>
        <w:rPr>
          <w:rFonts w:hint="eastAsia"/>
          <w:color w:val="000000" w:themeColor="text1"/>
        </w:rPr>
        <w:t>信息化</w:t>
      </w:r>
      <w:bookmarkEnd w:id="142"/>
      <w:bookmarkEnd w:id="143"/>
      <w:bookmarkEnd w:id="144"/>
    </w:p>
    <w:p w14:paraId="52C2C42F">
      <w:pPr>
        <w:pStyle w:val="58"/>
        <w:ind w:firstLine="420"/>
        <w:rPr>
          <w:color w:val="000000" w:themeColor="text1"/>
        </w:rPr>
      </w:pPr>
      <w:r>
        <w:rPr>
          <w:rFonts w:hint="eastAsia"/>
          <w:color w:val="000000" w:themeColor="text1"/>
        </w:rPr>
        <w:t>使用单位宜应用计算机网络、物联网等信息化技术，实现实时在线监测和远程监控。信息化技术包括但不限于：</w:t>
      </w:r>
    </w:p>
    <w:p w14:paraId="3DC987DC">
      <w:pPr>
        <w:pStyle w:val="134"/>
        <w:rPr>
          <w:color w:val="000000" w:themeColor="text1"/>
        </w:rPr>
      </w:pPr>
      <w:r>
        <w:rPr>
          <w:rFonts w:hint="eastAsia"/>
          <w:color w:val="000000" w:themeColor="text1"/>
        </w:rPr>
        <w:t>建立风险管控和隐患排查治理数据库；</w:t>
      </w:r>
    </w:p>
    <w:p w14:paraId="7BB6DB92">
      <w:pPr>
        <w:pStyle w:val="134"/>
        <w:rPr>
          <w:color w:val="000000" w:themeColor="text1"/>
        </w:rPr>
      </w:pPr>
      <w:r>
        <w:rPr>
          <w:rFonts w:hint="eastAsia"/>
          <w:color w:val="000000" w:themeColor="text1"/>
        </w:rPr>
        <w:t>安装视频监控、智能检测传感器等设备；</w:t>
      </w:r>
    </w:p>
    <w:p w14:paraId="295B2BC6">
      <w:pPr>
        <w:pStyle w:val="134"/>
        <w:rPr>
          <w:color w:val="000000" w:themeColor="text1"/>
        </w:rPr>
      </w:pPr>
      <w:r>
        <w:rPr>
          <w:rFonts w:hint="eastAsia"/>
          <w:color w:val="000000" w:themeColor="text1"/>
        </w:rPr>
        <w:t>利用网络平台实现各</w:t>
      </w:r>
      <w:r>
        <w:rPr>
          <w:rFonts w:hint="eastAsia"/>
          <w:color w:val="000000" w:themeColor="text1"/>
          <w:lang w:val="en-US" w:eastAsia="zh-CN"/>
        </w:rPr>
        <w:t>塔式起重机</w:t>
      </w:r>
      <w:r>
        <w:rPr>
          <w:rFonts w:hint="eastAsia"/>
          <w:color w:val="000000" w:themeColor="text1"/>
        </w:rPr>
        <w:t>之间的风险管控信息交流和经验共享；</w:t>
      </w:r>
    </w:p>
    <w:p w14:paraId="71EED8C0">
      <w:pPr>
        <w:pStyle w:val="134"/>
        <w:rPr>
          <w:color w:val="000000" w:themeColor="text1"/>
        </w:rPr>
      </w:pPr>
      <w:r>
        <w:rPr>
          <w:rFonts w:hint="eastAsia"/>
          <w:color w:val="000000" w:themeColor="text1"/>
        </w:rPr>
        <w:t>打造智慧化</w:t>
      </w:r>
      <w:r>
        <w:rPr>
          <w:rFonts w:hint="eastAsia"/>
          <w:color w:val="000000" w:themeColor="text1"/>
          <w:lang w:val="en-US" w:eastAsia="zh-CN"/>
        </w:rPr>
        <w:t>塔式起重机</w:t>
      </w:r>
      <w:r>
        <w:rPr>
          <w:rFonts w:hint="eastAsia"/>
          <w:color w:val="000000" w:themeColor="text1"/>
        </w:rPr>
        <w:t>安全管理系统。</w:t>
      </w:r>
    </w:p>
    <w:p w14:paraId="0D5A35D4">
      <w:pPr>
        <w:pStyle w:val="106"/>
        <w:spacing w:before="312" w:after="312"/>
        <w:rPr>
          <w:color w:val="000000" w:themeColor="text1"/>
        </w:rPr>
      </w:pPr>
      <w:bookmarkStart w:id="145" w:name="_Toc185672279"/>
      <w:bookmarkStart w:id="146" w:name="_Toc185426295"/>
      <w:bookmarkStart w:id="147" w:name="_Toc182082998"/>
      <w:r>
        <w:rPr>
          <w:rFonts w:hint="eastAsia"/>
          <w:color w:val="000000" w:themeColor="text1"/>
        </w:rPr>
        <w:t>持续改进</w:t>
      </w:r>
      <w:bookmarkEnd w:id="145"/>
      <w:bookmarkEnd w:id="146"/>
      <w:bookmarkEnd w:id="147"/>
    </w:p>
    <w:p w14:paraId="09BCC0B9">
      <w:pPr>
        <w:pStyle w:val="164"/>
        <w:rPr>
          <w:color w:val="000000" w:themeColor="text1"/>
        </w:rPr>
      </w:pPr>
      <w:r>
        <w:rPr>
          <w:rFonts w:hint="eastAsia"/>
          <w:color w:val="000000" w:themeColor="text1"/>
        </w:rPr>
        <w:t>使用单位应建立风险管控和隐患排查治理工作持续改进机制。</w:t>
      </w:r>
    </w:p>
    <w:p w14:paraId="09D2E2DF">
      <w:pPr>
        <w:pStyle w:val="164"/>
        <w:rPr>
          <w:color w:val="000000" w:themeColor="text1"/>
        </w:rPr>
      </w:pPr>
      <w:r>
        <w:rPr>
          <w:rFonts w:hint="eastAsia"/>
          <w:color w:val="000000" w:themeColor="text1"/>
          <w:kern w:val="2"/>
        </w:rPr>
        <w:t>使用单位应每年对风险分级管控</w:t>
      </w:r>
      <w:r>
        <w:rPr>
          <w:rFonts w:hint="eastAsia"/>
          <w:color w:val="000000" w:themeColor="text1"/>
        </w:rPr>
        <w:t>和隐患排查治理</w:t>
      </w:r>
      <w:r>
        <w:rPr>
          <w:rFonts w:hint="eastAsia"/>
          <w:color w:val="000000" w:themeColor="text1"/>
          <w:kern w:val="2"/>
        </w:rPr>
        <w:t>工作体系及</w:t>
      </w:r>
      <w:r>
        <w:rPr>
          <w:rFonts w:hint="eastAsia"/>
          <w:color w:val="000000" w:themeColor="text1"/>
        </w:rPr>
        <w:t>实施效果至少进行一次系统性评审，对评审出来的问题限期改进，并保留评审记录。</w:t>
      </w:r>
    </w:p>
    <w:p w14:paraId="6A952FD3">
      <w:pPr>
        <w:pStyle w:val="164"/>
        <w:rPr>
          <w:color w:val="000000" w:themeColor="text1"/>
        </w:rPr>
      </w:pPr>
      <w:r>
        <w:rPr>
          <w:rFonts w:hint="eastAsia"/>
          <w:color w:val="000000" w:themeColor="text1"/>
        </w:rPr>
        <w:t>遇到下列情形之一时，使用单位应及时修订完善</w:t>
      </w:r>
      <w:r>
        <w:rPr>
          <w:rFonts w:hint="eastAsia"/>
          <w:color w:val="000000" w:themeColor="text1"/>
          <w:kern w:val="2"/>
        </w:rPr>
        <w:t>风险分级管控</w:t>
      </w:r>
      <w:r>
        <w:rPr>
          <w:rFonts w:hint="eastAsia"/>
          <w:color w:val="000000" w:themeColor="text1"/>
        </w:rPr>
        <w:t>和隐患排查治理</w:t>
      </w:r>
      <w:r>
        <w:rPr>
          <w:rFonts w:hint="eastAsia"/>
          <w:color w:val="000000" w:themeColor="text1"/>
          <w:kern w:val="2"/>
        </w:rPr>
        <w:t>工作体系</w:t>
      </w:r>
      <w:r>
        <w:rPr>
          <w:rFonts w:hint="eastAsia"/>
          <w:color w:val="000000" w:themeColor="text1"/>
        </w:rPr>
        <w:t>相关制度文件和管控措施：</w:t>
      </w:r>
    </w:p>
    <w:p w14:paraId="296E1239">
      <w:pPr>
        <w:pStyle w:val="134"/>
        <w:rPr>
          <w:color w:val="000000" w:themeColor="text1"/>
        </w:rPr>
      </w:pPr>
      <w:r>
        <w:rPr>
          <w:rFonts w:hint="eastAsia"/>
          <w:color w:val="000000" w:themeColor="text1"/>
        </w:rPr>
        <w:t>依据的</w:t>
      </w:r>
      <w:r>
        <w:rPr>
          <w:rFonts w:hint="eastAsia"/>
          <w:color w:val="000000" w:themeColor="text1"/>
          <w:lang w:eastAsia="zh-CN"/>
        </w:rPr>
        <w:t>法律法规</w:t>
      </w:r>
      <w:r>
        <w:rPr>
          <w:rFonts w:hint="eastAsia"/>
          <w:color w:val="000000" w:themeColor="text1"/>
        </w:rPr>
        <w:t>、规章、安全技术规范、标准的有关规定发生重大变化；</w:t>
      </w:r>
    </w:p>
    <w:p w14:paraId="175BF8C1">
      <w:pPr>
        <w:pStyle w:val="134"/>
        <w:rPr>
          <w:color w:val="000000" w:themeColor="text1"/>
        </w:rPr>
      </w:pPr>
      <w:r>
        <w:rPr>
          <w:rFonts w:hint="eastAsia"/>
          <w:color w:val="000000" w:themeColor="text1"/>
          <w:lang w:val="en-US" w:eastAsia="zh-CN"/>
        </w:rPr>
        <w:t>塔式起重机</w:t>
      </w:r>
      <w:r>
        <w:rPr>
          <w:rFonts w:hint="eastAsia"/>
          <w:color w:val="000000" w:themeColor="text1"/>
        </w:rPr>
        <w:t>实施重大修理、改造后；</w:t>
      </w:r>
    </w:p>
    <w:p w14:paraId="49CA1928">
      <w:pPr>
        <w:pStyle w:val="134"/>
        <w:rPr>
          <w:color w:val="000000" w:themeColor="text1"/>
        </w:rPr>
      </w:pPr>
      <w:r>
        <w:rPr>
          <w:rFonts w:hint="eastAsia"/>
          <w:color w:val="000000" w:themeColor="text1"/>
        </w:rPr>
        <w:t xml:space="preserve">设备使用环境发生重大变化； </w:t>
      </w:r>
    </w:p>
    <w:p w14:paraId="3EF7A952">
      <w:pPr>
        <w:pStyle w:val="134"/>
        <w:rPr>
          <w:color w:val="000000" w:themeColor="text1"/>
        </w:rPr>
      </w:pPr>
      <w:r>
        <w:rPr>
          <w:rFonts w:hint="eastAsia"/>
          <w:color w:val="000000" w:themeColor="text1"/>
        </w:rPr>
        <w:t xml:space="preserve">发生伤亡事故； </w:t>
      </w:r>
    </w:p>
    <w:p w14:paraId="742B560A">
      <w:pPr>
        <w:pStyle w:val="134"/>
        <w:rPr>
          <w:color w:val="000000" w:themeColor="text1"/>
        </w:rPr>
      </w:pPr>
      <w:r>
        <w:rPr>
          <w:rFonts w:hint="eastAsia"/>
          <w:color w:val="000000" w:themeColor="text1"/>
        </w:rPr>
        <w:t xml:space="preserve">组织机构发生变化； </w:t>
      </w:r>
    </w:p>
    <w:p w14:paraId="6475AC41">
      <w:pPr>
        <w:pStyle w:val="134"/>
      </w:pPr>
      <w:r>
        <w:rPr>
          <w:rFonts w:hint="eastAsia"/>
        </w:rPr>
        <w:t xml:space="preserve">特种设备安全监督管理部门或检验、检测机构发现重大隐患； </w:t>
      </w:r>
    </w:p>
    <w:p w14:paraId="4F93583C">
      <w:pPr>
        <w:pStyle w:val="134"/>
      </w:pPr>
      <w:r>
        <w:t>使用单位认为需要修订的其他情况。</w:t>
      </w:r>
    </w:p>
    <w:p w14:paraId="79FAE6D7">
      <w:pPr>
        <w:pStyle w:val="134"/>
        <w:sectPr>
          <w:pgSz w:w="11906" w:h="16838"/>
          <w:pgMar w:top="1928" w:right="1134" w:bottom="1134" w:left="1134" w:header="1418" w:footer="1134" w:gutter="284"/>
          <w:pgNumType w:start="1"/>
          <w:cols w:space="425" w:num="1"/>
          <w:formProt w:val="0"/>
          <w:docGrid w:type="lines" w:linePitch="312" w:charSpace="0"/>
        </w:sectPr>
      </w:pPr>
    </w:p>
    <w:bookmarkEnd w:id="25"/>
    <w:p w14:paraId="2845DDDE">
      <w:pPr>
        <w:pStyle w:val="200"/>
        <w:rPr>
          <w:vanish w:val="0"/>
          <w:color w:val="000000" w:themeColor="text1"/>
        </w:rPr>
      </w:pPr>
      <w:bookmarkStart w:id="148" w:name="BookMark5"/>
    </w:p>
    <w:p w14:paraId="2CC280C7">
      <w:pPr>
        <w:pStyle w:val="201"/>
        <w:rPr>
          <w:vanish w:val="0"/>
          <w:color w:val="000000" w:themeColor="text1"/>
        </w:rPr>
      </w:pPr>
    </w:p>
    <w:p w14:paraId="695C31C7">
      <w:pPr>
        <w:pStyle w:val="78"/>
        <w:spacing w:after="156"/>
        <w:rPr>
          <w:color w:val="000000" w:themeColor="text1"/>
        </w:rPr>
      </w:pPr>
      <w:r>
        <w:rPr>
          <w:color w:val="000000" w:themeColor="text1"/>
        </w:rPr>
        <w:br w:type="textWrapping"/>
      </w:r>
      <w:bookmarkStart w:id="149" w:name="_Toc185672280"/>
      <w:bookmarkStart w:id="150" w:name="_Toc185426296"/>
      <w:bookmarkStart w:id="151" w:name="_Toc182082999"/>
      <w:r>
        <w:rPr>
          <w:rFonts w:hint="eastAsia"/>
          <w:color w:val="000000" w:themeColor="text1"/>
        </w:rPr>
        <w:t>（资料性）</w:t>
      </w:r>
      <w:r>
        <w:rPr>
          <w:color w:val="000000" w:themeColor="text1"/>
        </w:rPr>
        <w:br w:type="textWrapping"/>
      </w:r>
      <w:r>
        <w:rPr>
          <w:rFonts w:hint="eastAsia"/>
          <w:color w:val="000000" w:themeColor="text1"/>
        </w:rPr>
        <w:t>安全分析评价记录表</w:t>
      </w:r>
      <w:bookmarkEnd w:id="149"/>
      <w:bookmarkEnd w:id="150"/>
      <w:bookmarkEnd w:id="151"/>
    </w:p>
    <w:tbl>
      <w:tblPr>
        <w:tblStyle w:val="28"/>
        <w:tblW w:w="145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113"/>
        <w:gridCol w:w="272"/>
        <w:gridCol w:w="1570"/>
        <w:gridCol w:w="272"/>
        <w:gridCol w:w="3544"/>
        <w:gridCol w:w="295"/>
        <w:gridCol w:w="130"/>
        <w:gridCol w:w="295"/>
        <w:gridCol w:w="131"/>
        <w:gridCol w:w="295"/>
        <w:gridCol w:w="130"/>
        <w:gridCol w:w="295"/>
        <w:gridCol w:w="130"/>
        <w:gridCol w:w="295"/>
        <w:gridCol w:w="130"/>
        <w:gridCol w:w="295"/>
        <w:gridCol w:w="253"/>
        <w:gridCol w:w="300"/>
      </w:tblGrid>
      <w:tr w14:paraId="713FD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After w:val="1"/>
          <w:wAfter w:w="300" w:type="dxa"/>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672B4E1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05868C0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gridSpan w:val="2"/>
            <w:tcBorders>
              <w:top w:val="single" w:color="auto" w:sz="8" w:space="0"/>
              <w:left w:val="single" w:color="auto" w:sz="4" w:space="0"/>
              <w:bottom w:val="single" w:color="auto" w:sz="8" w:space="0"/>
              <w:right w:val="single" w:color="auto" w:sz="4" w:space="0"/>
            </w:tcBorders>
            <w:vAlign w:val="center"/>
          </w:tcPr>
          <w:p w14:paraId="4AEBA41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gridSpan w:val="2"/>
            <w:tcBorders>
              <w:top w:val="single" w:color="auto" w:sz="8" w:space="0"/>
              <w:left w:val="single" w:color="auto" w:sz="4" w:space="0"/>
              <w:bottom w:val="single" w:color="auto" w:sz="8" w:space="0"/>
              <w:right w:val="single" w:color="auto" w:sz="4" w:space="0"/>
            </w:tcBorders>
            <w:vAlign w:val="center"/>
          </w:tcPr>
          <w:p w14:paraId="1D947A4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31C48D2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gridSpan w:val="2"/>
            <w:tcBorders>
              <w:top w:val="single" w:color="auto" w:sz="8" w:space="0"/>
              <w:left w:val="single" w:color="auto" w:sz="4" w:space="0"/>
              <w:bottom w:val="single" w:color="auto" w:sz="8" w:space="0"/>
              <w:right w:val="single" w:color="auto" w:sz="4" w:space="0"/>
            </w:tcBorders>
            <w:vAlign w:val="center"/>
          </w:tcPr>
          <w:p w14:paraId="5F8670B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gridSpan w:val="2"/>
            <w:tcBorders>
              <w:top w:val="single" w:color="auto" w:sz="8" w:space="0"/>
              <w:left w:val="single" w:color="auto" w:sz="4" w:space="0"/>
              <w:bottom w:val="single" w:color="auto" w:sz="8" w:space="0"/>
              <w:right w:val="single" w:color="auto" w:sz="4" w:space="0"/>
            </w:tcBorders>
            <w:vAlign w:val="center"/>
          </w:tcPr>
          <w:p w14:paraId="749037E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gridSpan w:val="2"/>
            <w:tcBorders>
              <w:top w:val="single" w:color="auto" w:sz="8" w:space="0"/>
              <w:left w:val="single" w:color="auto" w:sz="4" w:space="0"/>
              <w:bottom w:val="single" w:color="auto" w:sz="8" w:space="0"/>
              <w:right w:val="single" w:color="auto" w:sz="4" w:space="0"/>
            </w:tcBorders>
            <w:vAlign w:val="center"/>
          </w:tcPr>
          <w:p w14:paraId="408994C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gridSpan w:val="2"/>
            <w:tcBorders>
              <w:top w:val="single" w:color="auto" w:sz="8" w:space="0"/>
              <w:left w:val="single" w:color="auto" w:sz="4" w:space="0"/>
              <w:bottom w:val="single" w:color="auto" w:sz="8" w:space="0"/>
              <w:right w:val="single" w:color="auto" w:sz="4" w:space="0"/>
            </w:tcBorders>
            <w:vAlign w:val="center"/>
          </w:tcPr>
          <w:p w14:paraId="70AB3CE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gridSpan w:val="2"/>
            <w:tcBorders>
              <w:top w:val="single" w:color="auto" w:sz="8" w:space="0"/>
              <w:left w:val="single" w:color="auto" w:sz="4" w:space="0"/>
              <w:bottom w:val="single" w:color="auto" w:sz="8" w:space="0"/>
              <w:right w:val="single" w:color="auto" w:sz="4" w:space="0"/>
            </w:tcBorders>
            <w:vAlign w:val="center"/>
          </w:tcPr>
          <w:p w14:paraId="544C6EF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gridSpan w:val="2"/>
            <w:tcBorders>
              <w:top w:val="single" w:color="auto" w:sz="8" w:space="0"/>
              <w:left w:val="single" w:color="auto" w:sz="4" w:space="0"/>
              <w:bottom w:val="single" w:color="auto" w:sz="8" w:space="0"/>
              <w:right w:val="single" w:color="auto" w:sz="8" w:space="0"/>
            </w:tcBorders>
            <w:vAlign w:val="center"/>
          </w:tcPr>
          <w:p w14:paraId="779D0B6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36AD1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After w:val="1"/>
          <w:wAfter w:w="300" w:type="dxa"/>
          <w:trHeight w:val="1904" w:hRule="atLeast"/>
        </w:trPr>
        <w:tc>
          <w:tcPr>
            <w:tcW w:w="577" w:type="dxa"/>
            <w:tcBorders>
              <w:top w:val="single" w:color="auto" w:sz="8" w:space="0"/>
              <w:left w:val="single" w:color="auto" w:sz="8" w:space="0"/>
              <w:bottom w:val="single" w:color="auto" w:sz="4" w:space="0"/>
              <w:right w:val="single" w:color="auto" w:sz="4" w:space="0"/>
            </w:tcBorders>
            <w:vAlign w:val="center"/>
          </w:tcPr>
          <w:p w14:paraId="528FD25E">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w:t>
            </w:r>
          </w:p>
        </w:tc>
        <w:tc>
          <w:tcPr>
            <w:tcW w:w="567" w:type="dxa"/>
            <w:vMerge w:val="restart"/>
            <w:tcBorders>
              <w:top w:val="nil"/>
              <w:left w:val="single" w:color="auto" w:sz="4" w:space="0"/>
              <w:bottom w:val="single" w:color="auto" w:sz="4" w:space="0"/>
              <w:right w:val="single" w:color="auto" w:sz="4" w:space="0"/>
            </w:tcBorders>
            <w:vAlign w:val="center"/>
          </w:tcPr>
          <w:p w14:paraId="04279626">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管理</w:t>
            </w:r>
          </w:p>
        </w:tc>
        <w:tc>
          <w:tcPr>
            <w:tcW w:w="709" w:type="dxa"/>
            <w:tcBorders>
              <w:top w:val="single" w:color="auto" w:sz="8" w:space="0"/>
              <w:left w:val="single" w:color="auto" w:sz="4" w:space="0"/>
              <w:bottom w:val="single" w:color="auto" w:sz="4" w:space="0"/>
              <w:right w:val="single" w:color="auto" w:sz="4" w:space="0"/>
            </w:tcBorders>
            <w:vAlign w:val="center"/>
          </w:tcPr>
          <w:p w14:paraId="59D69ABD">
            <w:pPr>
              <w:pStyle w:val="233"/>
              <w:spacing w:line="300" w:lineRule="exact"/>
              <w:ind w:firstLine="0" w:firstLineChars="0"/>
              <w:jc w:val="center"/>
              <w:rPr>
                <w:rFonts w:hAnsi="宋体"/>
                <w:bCs/>
                <w:color w:val="000000" w:themeColor="text1"/>
                <w:sz w:val="18"/>
                <w:szCs w:val="18"/>
              </w:rPr>
            </w:pPr>
            <w:r>
              <w:rPr>
                <w:rFonts w:hint="eastAsia" w:hAnsi="宋体"/>
                <w:bCs/>
                <w:color w:val="000000" w:themeColor="text1"/>
                <w:sz w:val="18"/>
                <w:szCs w:val="18"/>
              </w:rPr>
              <w:t>使用</w:t>
            </w:r>
          </w:p>
          <w:p w14:paraId="1D690334">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资料</w:t>
            </w:r>
          </w:p>
        </w:tc>
        <w:tc>
          <w:tcPr>
            <w:tcW w:w="4385" w:type="dxa"/>
            <w:gridSpan w:val="2"/>
            <w:tcBorders>
              <w:top w:val="single" w:color="auto" w:sz="8" w:space="0"/>
              <w:left w:val="single" w:color="auto" w:sz="4" w:space="0"/>
              <w:bottom w:val="single" w:color="auto" w:sz="4" w:space="0"/>
              <w:right w:val="single" w:color="auto" w:sz="4" w:space="0"/>
            </w:tcBorders>
            <w:vAlign w:val="center"/>
          </w:tcPr>
          <w:p w14:paraId="713988ED">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未办理使用登记；</w:t>
            </w:r>
          </w:p>
          <w:p w14:paraId="2290406B">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未根据</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的特点、生产工艺等，制定满足使用维护保养说明书要求的安全操作规程；</w:t>
            </w:r>
          </w:p>
          <w:p w14:paraId="5B220845">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未按规定在易于看见的部位张贴特种设备使用标志</w:t>
            </w:r>
          </w:p>
        </w:tc>
        <w:tc>
          <w:tcPr>
            <w:tcW w:w="1842" w:type="dxa"/>
            <w:gridSpan w:val="2"/>
            <w:tcBorders>
              <w:top w:val="single" w:color="auto" w:sz="8" w:space="0"/>
              <w:left w:val="single" w:color="auto" w:sz="4" w:space="0"/>
              <w:bottom w:val="single" w:color="auto" w:sz="4" w:space="0"/>
              <w:right w:val="single" w:color="auto" w:sz="4" w:space="0"/>
            </w:tcBorders>
            <w:vAlign w:val="center"/>
          </w:tcPr>
          <w:p w14:paraId="6A091490">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w:t>
            </w:r>
          </w:p>
        </w:tc>
        <w:tc>
          <w:tcPr>
            <w:tcW w:w="3544" w:type="dxa"/>
            <w:tcBorders>
              <w:top w:val="single" w:color="auto" w:sz="8" w:space="0"/>
              <w:left w:val="single" w:color="auto" w:sz="4" w:space="0"/>
              <w:bottom w:val="single" w:color="auto" w:sz="4" w:space="0"/>
              <w:right w:val="single" w:color="auto" w:sz="4" w:space="0"/>
            </w:tcBorders>
            <w:vAlign w:val="center"/>
          </w:tcPr>
          <w:p w14:paraId="7B5FE2DF">
            <w:pPr>
              <w:spacing w:line="300" w:lineRule="exact"/>
              <w:rPr>
                <w:rFonts w:ascii="宋体" w:hAnsi="宋体"/>
                <w:color w:val="000000" w:themeColor="text1"/>
                <w:sz w:val="18"/>
                <w:szCs w:val="18"/>
              </w:rPr>
            </w:pPr>
            <w:r>
              <w:rPr>
                <w:rFonts w:hint="eastAsia" w:ascii="宋体" w:hAnsi="宋体"/>
                <w:color w:val="000000" w:themeColor="text1"/>
                <w:sz w:val="18"/>
                <w:szCs w:val="18"/>
              </w:rPr>
              <w:t>按规定办理使用登记；制定操作规程；张贴特种设备使用标志</w:t>
            </w:r>
          </w:p>
        </w:tc>
        <w:tc>
          <w:tcPr>
            <w:tcW w:w="425" w:type="dxa"/>
            <w:gridSpan w:val="2"/>
            <w:tcBorders>
              <w:top w:val="single" w:color="auto" w:sz="8" w:space="0"/>
              <w:left w:val="single" w:color="auto" w:sz="4" w:space="0"/>
              <w:bottom w:val="single" w:color="auto" w:sz="4" w:space="0"/>
              <w:right w:val="single" w:color="auto" w:sz="4" w:space="0"/>
            </w:tcBorders>
            <w:vAlign w:val="center"/>
          </w:tcPr>
          <w:p w14:paraId="2EFAA5AA">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6" w:type="dxa"/>
            <w:gridSpan w:val="2"/>
            <w:tcBorders>
              <w:top w:val="single" w:color="auto" w:sz="8" w:space="0"/>
              <w:left w:val="single" w:color="auto" w:sz="4" w:space="0"/>
              <w:bottom w:val="single" w:color="auto" w:sz="4" w:space="0"/>
              <w:right w:val="single" w:color="auto" w:sz="4" w:space="0"/>
            </w:tcBorders>
            <w:vAlign w:val="center"/>
          </w:tcPr>
          <w:p w14:paraId="0C2FACF4">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tcBorders>
              <w:top w:val="single" w:color="auto" w:sz="8" w:space="0"/>
              <w:left w:val="single" w:color="auto" w:sz="4" w:space="0"/>
              <w:bottom w:val="single" w:color="auto" w:sz="4" w:space="0"/>
              <w:right w:val="single" w:color="auto" w:sz="4" w:space="0"/>
            </w:tcBorders>
            <w:vAlign w:val="center"/>
          </w:tcPr>
          <w:p w14:paraId="0C23EF12">
            <w:pPr>
              <w:jc w:val="center"/>
              <w:rPr>
                <w:rFonts w:ascii="宋体" w:hAnsi="宋体"/>
                <w:color w:val="000000" w:themeColor="text1"/>
                <w:sz w:val="18"/>
                <w:szCs w:val="18"/>
              </w:rPr>
            </w:pPr>
            <w:r>
              <w:rPr>
                <w:rFonts w:hint="eastAsia" w:ascii="宋体" w:hAnsi="宋体"/>
                <w:color w:val="000000" w:themeColor="text1"/>
                <w:sz w:val="18"/>
                <w:szCs w:val="18"/>
              </w:rPr>
              <w:t>12</w:t>
            </w:r>
          </w:p>
        </w:tc>
        <w:tc>
          <w:tcPr>
            <w:tcW w:w="425" w:type="dxa"/>
            <w:gridSpan w:val="2"/>
            <w:tcBorders>
              <w:top w:val="single" w:color="auto" w:sz="8" w:space="0"/>
              <w:left w:val="single" w:color="auto" w:sz="4" w:space="0"/>
              <w:bottom w:val="single" w:color="auto" w:sz="4" w:space="0"/>
              <w:right w:val="single" w:color="auto" w:sz="4" w:space="0"/>
            </w:tcBorders>
            <w:vAlign w:val="center"/>
          </w:tcPr>
          <w:p w14:paraId="493D9A43">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gridSpan w:val="2"/>
            <w:tcBorders>
              <w:top w:val="single" w:color="auto" w:sz="8" w:space="0"/>
              <w:left w:val="single" w:color="auto" w:sz="4" w:space="0"/>
              <w:bottom w:val="single" w:color="auto" w:sz="4" w:space="0"/>
              <w:right w:val="single" w:color="auto" w:sz="4" w:space="0"/>
            </w:tcBorders>
            <w:shd w:val="clear" w:color="auto" w:fill="FFFFFF"/>
            <w:vAlign w:val="center"/>
          </w:tcPr>
          <w:p w14:paraId="4A992780">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gridSpan w:val="2"/>
            <w:tcBorders>
              <w:top w:val="single" w:color="auto" w:sz="8" w:space="0"/>
              <w:left w:val="single" w:color="auto" w:sz="4" w:space="0"/>
              <w:bottom w:val="single" w:color="auto" w:sz="4" w:space="0"/>
              <w:right w:val="single" w:color="auto" w:sz="8" w:space="0"/>
            </w:tcBorders>
            <w:shd w:val="clear" w:color="auto" w:fill="FFFFFF"/>
          </w:tcPr>
          <w:p w14:paraId="51120B0E">
            <w:pPr>
              <w:widowControl/>
              <w:jc w:val="center"/>
              <w:rPr>
                <w:rFonts w:ascii="宋体" w:hAnsi="宋体"/>
                <w:color w:val="000000" w:themeColor="text1"/>
                <w:kern w:val="0"/>
                <w:sz w:val="18"/>
                <w:szCs w:val="18"/>
              </w:rPr>
            </w:pPr>
          </w:p>
        </w:tc>
      </w:tr>
      <w:tr w14:paraId="61BC5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After w:val="1"/>
          <w:wAfter w:w="300" w:type="dxa"/>
          <w:trHeight w:val="900" w:hRule="atLeast"/>
        </w:trPr>
        <w:tc>
          <w:tcPr>
            <w:tcW w:w="577" w:type="dxa"/>
            <w:tcBorders>
              <w:top w:val="single" w:color="auto" w:sz="4" w:space="0"/>
              <w:left w:val="single" w:color="auto" w:sz="8" w:space="0"/>
              <w:bottom w:val="single" w:color="auto" w:sz="4" w:space="0"/>
              <w:right w:val="single" w:color="auto" w:sz="4" w:space="0"/>
            </w:tcBorders>
            <w:vAlign w:val="center"/>
          </w:tcPr>
          <w:p w14:paraId="2408974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2</w:t>
            </w:r>
          </w:p>
        </w:tc>
        <w:tc>
          <w:tcPr>
            <w:tcW w:w="0" w:type="auto"/>
            <w:vMerge w:val="continue"/>
            <w:tcBorders>
              <w:top w:val="nil"/>
              <w:left w:val="single" w:color="auto" w:sz="4" w:space="0"/>
              <w:bottom w:val="single" w:color="auto" w:sz="4" w:space="0"/>
              <w:right w:val="single" w:color="auto" w:sz="4" w:space="0"/>
            </w:tcBorders>
            <w:vAlign w:val="center"/>
          </w:tcPr>
          <w:p w14:paraId="1FC7DFCC">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290C6854">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安全管理机构</w:t>
            </w:r>
          </w:p>
        </w:tc>
        <w:tc>
          <w:tcPr>
            <w:tcW w:w="4385" w:type="dxa"/>
            <w:gridSpan w:val="2"/>
            <w:tcBorders>
              <w:top w:val="single" w:color="auto" w:sz="4" w:space="0"/>
              <w:left w:val="single" w:color="auto" w:sz="4" w:space="0"/>
              <w:bottom w:val="single" w:color="auto" w:sz="4" w:space="0"/>
              <w:right w:val="single" w:color="auto" w:sz="4" w:space="0"/>
            </w:tcBorders>
            <w:vAlign w:val="center"/>
          </w:tcPr>
          <w:p w14:paraId="009F435E">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使用</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总量大于50台(含50台)的，未设置安全管理机构，未逐台落实安全责任人</w:t>
            </w:r>
          </w:p>
        </w:tc>
        <w:tc>
          <w:tcPr>
            <w:tcW w:w="1842" w:type="dxa"/>
            <w:gridSpan w:val="2"/>
            <w:tcBorders>
              <w:top w:val="single" w:color="auto" w:sz="4" w:space="0"/>
              <w:left w:val="single" w:color="auto" w:sz="4" w:space="0"/>
              <w:bottom w:val="single" w:color="auto" w:sz="4" w:space="0"/>
              <w:right w:val="single" w:color="auto" w:sz="4" w:space="0"/>
            </w:tcBorders>
            <w:vAlign w:val="center"/>
          </w:tcPr>
          <w:p w14:paraId="59A9E6B2">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tcBorders>
              <w:top w:val="single" w:color="auto" w:sz="4" w:space="0"/>
              <w:left w:val="single" w:color="auto" w:sz="4" w:space="0"/>
              <w:bottom w:val="single" w:color="auto" w:sz="4" w:space="0"/>
              <w:right w:val="single" w:color="auto" w:sz="4" w:space="0"/>
            </w:tcBorders>
            <w:vAlign w:val="center"/>
          </w:tcPr>
          <w:p w14:paraId="311B396C">
            <w:pPr>
              <w:spacing w:line="300" w:lineRule="exact"/>
              <w:rPr>
                <w:rFonts w:ascii="宋体" w:hAnsi="宋体"/>
                <w:color w:val="000000" w:themeColor="text1"/>
                <w:sz w:val="18"/>
                <w:szCs w:val="18"/>
              </w:rPr>
            </w:pPr>
            <w:r>
              <w:rPr>
                <w:rFonts w:hint="eastAsia" w:ascii="宋体" w:hAnsi="宋体"/>
                <w:color w:val="000000" w:themeColor="text1"/>
                <w:sz w:val="18"/>
                <w:szCs w:val="18"/>
              </w:rPr>
              <w:t>成立安全管理机构，落实责任人员</w:t>
            </w:r>
          </w:p>
        </w:tc>
        <w:tc>
          <w:tcPr>
            <w:tcW w:w="425" w:type="dxa"/>
            <w:gridSpan w:val="2"/>
            <w:tcBorders>
              <w:top w:val="single" w:color="auto" w:sz="4" w:space="0"/>
              <w:left w:val="single" w:color="auto" w:sz="4" w:space="0"/>
              <w:bottom w:val="single" w:color="auto" w:sz="4" w:space="0"/>
              <w:right w:val="single" w:color="auto" w:sz="4" w:space="0"/>
            </w:tcBorders>
            <w:vAlign w:val="center"/>
          </w:tcPr>
          <w:p w14:paraId="116CC944">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gridSpan w:val="2"/>
            <w:tcBorders>
              <w:top w:val="single" w:color="auto" w:sz="4" w:space="0"/>
              <w:left w:val="single" w:color="auto" w:sz="4" w:space="0"/>
              <w:bottom w:val="single" w:color="auto" w:sz="4" w:space="0"/>
              <w:right w:val="single" w:color="auto" w:sz="4" w:space="0"/>
            </w:tcBorders>
            <w:vAlign w:val="center"/>
          </w:tcPr>
          <w:p w14:paraId="152F37FE">
            <w:pPr>
              <w:jc w:val="center"/>
              <w:rPr>
                <w:rFonts w:ascii="宋体" w:hAnsi="宋体"/>
                <w:color w:val="000000" w:themeColor="text1"/>
                <w:sz w:val="18"/>
                <w:szCs w:val="18"/>
              </w:rPr>
            </w:pPr>
            <w:r>
              <w:rPr>
                <w:rFonts w:hint="eastAsia" w:ascii="宋体" w:hAnsi="宋体"/>
                <w:color w:val="000000" w:themeColor="text1"/>
                <w:sz w:val="18"/>
                <w:szCs w:val="18"/>
              </w:rPr>
              <w:t>5</w:t>
            </w:r>
          </w:p>
        </w:tc>
        <w:tc>
          <w:tcPr>
            <w:tcW w:w="425" w:type="dxa"/>
            <w:gridSpan w:val="2"/>
            <w:tcBorders>
              <w:top w:val="single" w:color="auto" w:sz="4" w:space="0"/>
              <w:left w:val="single" w:color="auto" w:sz="4" w:space="0"/>
              <w:bottom w:val="single" w:color="auto" w:sz="4" w:space="0"/>
              <w:right w:val="single" w:color="auto" w:sz="4" w:space="0"/>
            </w:tcBorders>
            <w:vAlign w:val="center"/>
          </w:tcPr>
          <w:p w14:paraId="4548CAB2">
            <w:pPr>
              <w:jc w:val="center"/>
              <w:rPr>
                <w:rFonts w:ascii="宋体" w:hAnsi="宋体"/>
                <w:color w:val="000000" w:themeColor="text1"/>
                <w:sz w:val="18"/>
                <w:szCs w:val="18"/>
              </w:rPr>
            </w:pPr>
            <w:r>
              <w:rPr>
                <w:rFonts w:hint="eastAsia" w:ascii="宋体" w:hAnsi="宋体"/>
                <w:color w:val="000000" w:themeColor="text1"/>
                <w:sz w:val="18"/>
                <w:szCs w:val="18"/>
              </w:rPr>
              <w:t>20</w:t>
            </w:r>
          </w:p>
        </w:tc>
        <w:tc>
          <w:tcPr>
            <w:tcW w:w="425" w:type="dxa"/>
            <w:gridSpan w:val="2"/>
            <w:tcBorders>
              <w:top w:val="single" w:color="auto" w:sz="4" w:space="0"/>
              <w:left w:val="single" w:color="auto" w:sz="4" w:space="0"/>
              <w:bottom w:val="single" w:color="auto" w:sz="4" w:space="0"/>
              <w:right w:val="single" w:color="auto" w:sz="4" w:space="0"/>
            </w:tcBorders>
            <w:vAlign w:val="center"/>
          </w:tcPr>
          <w:p w14:paraId="72B186EE">
            <w:pPr>
              <w:jc w:val="center"/>
              <w:rPr>
                <w:rFonts w:ascii="宋体" w:hAnsi="宋体"/>
                <w:color w:val="000000" w:themeColor="text1"/>
                <w:sz w:val="18"/>
                <w:szCs w:val="18"/>
              </w:rPr>
            </w:pPr>
            <w:r>
              <w:rPr>
                <w:rFonts w:hint="eastAsia" w:ascii="宋体" w:hAnsi="宋体"/>
                <w:color w:val="000000" w:themeColor="text1"/>
                <w:sz w:val="18"/>
                <w:szCs w:val="18"/>
              </w:rPr>
              <w:t>1</w:t>
            </w:r>
          </w:p>
        </w:tc>
        <w:tc>
          <w:tcPr>
            <w:tcW w:w="42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F0FFD7">
            <w:pPr>
              <w:jc w:val="center"/>
              <w:rPr>
                <w:rFonts w:ascii="宋体" w:hAnsi="宋体"/>
                <w:color w:val="000000" w:themeColor="text1"/>
                <w:sz w:val="18"/>
                <w:szCs w:val="18"/>
              </w:rPr>
            </w:pPr>
            <w:r>
              <w:rPr>
                <w:rFonts w:hint="eastAsia" w:ascii="宋体" w:hAnsi="宋体"/>
                <w:color w:val="000000" w:themeColor="text1"/>
                <w:sz w:val="18"/>
                <w:szCs w:val="18"/>
              </w:rPr>
              <w:t>红</w:t>
            </w:r>
          </w:p>
        </w:tc>
        <w:tc>
          <w:tcPr>
            <w:tcW w:w="548" w:type="dxa"/>
            <w:gridSpan w:val="2"/>
            <w:tcBorders>
              <w:top w:val="single" w:color="auto" w:sz="4" w:space="0"/>
              <w:left w:val="single" w:color="auto" w:sz="4" w:space="0"/>
              <w:bottom w:val="single" w:color="auto" w:sz="4" w:space="0"/>
              <w:right w:val="single" w:color="auto" w:sz="8" w:space="0"/>
            </w:tcBorders>
            <w:shd w:val="clear" w:color="auto" w:fill="FFFFFF"/>
          </w:tcPr>
          <w:p w14:paraId="58390E9C">
            <w:pPr>
              <w:widowControl/>
              <w:jc w:val="center"/>
              <w:rPr>
                <w:rFonts w:ascii="宋体" w:hAnsi="宋体"/>
                <w:color w:val="000000" w:themeColor="text1"/>
                <w:kern w:val="0"/>
                <w:sz w:val="18"/>
                <w:szCs w:val="18"/>
              </w:rPr>
            </w:pPr>
          </w:p>
        </w:tc>
      </w:tr>
      <w:tr w14:paraId="460E3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After w:val="1"/>
          <w:wAfter w:w="300" w:type="dxa"/>
          <w:trHeight w:val="1059" w:hRule="atLeast"/>
        </w:trPr>
        <w:tc>
          <w:tcPr>
            <w:tcW w:w="577" w:type="dxa"/>
            <w:tcBorders>
              <w:top w:val="single" w:color="auto" w:sz="4" w:space="0"/>
              <w:left w:val="single" w:color="auto" w:sz="8" w:space="0"/>
              <w:bottom w:val="single" w:color="auto" w:sz="8" w:space="0"/>
              <w:right w:val="single" w:color="auto" w:sz="4" w:space="0"/>
            </w:tcBorders>
            <w:vAlign w:val="center"/>
          </w:tcPr>
          <w:p w14:paraId="412D32BB">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3</w:t>
            </w:r>
          </w:p>
        </w:tc>
        <w:tc>
          <w:tcPr>
            <w:tcW w:w="0" w:type="auto"/>
            <w:vMerge w:val="continue"/>
            <w:tcBorders>
              <w:top w:val="nil"/>
              <w:left w:val="single" w:color="auto" w:sz="4" w:space="0"/>
              <w:bottom w:val="single" w:color="auto" w:sz="4" w:space="0"/>
              <w:right w:val="single" w:color="auto" w:sz="4" w:space="0"/>
            </w:tcBorders>
            <w:vAlign w:val="center"/>
          </w:tcPr>
          <w:p w14:paraId="10C8D423">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2E53BCAD">
            <w:pPr>
              <w:pStyle w:val="233"/>
              <w:spacing w:line="300" w:lineRule="exact"/>
              <w:ind w:firstLine="0" w:firstLineChars="0"/>
              <w:jc w:val="center"/>
              <w:rPr>
                <w:rFonts w:hAnsi="宋体"/>
                <w:bCs/>
                <w:color w:val="000000" w:themeColor="text1"/>
                <w:sz w:val="18"/>
                <w:szCs w:val="18"/>
              </w:rPr>
            </w:pPr>
            <w:r>
              <w:rPr>
                <w:rFonts w:hint="eastAsia" w:hAnsi="宋体"/>
                <w:bCs/>
                <w:color w:val="000000" w:themeColor="text1"/>
                <w:sz w:val="18"/>
                <w:szCs w:val="18"/>
              </w:rPr>
              <w:t>管理</w:t>
            </w:r>
          </w:p>
          <w:p w14:paraId="1BA40656">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制度</w:t>
            </w:r>
          </w:p>
        </w:tc>
        <w:tc>
          <w:tcPr>
            <w:tcW w:w="4385" w:type="dxa"/>
            <w:gridSpan w:val="2"/>
            <w:tcBorders>
              <w:top w:val="single" w:color="auto" w:sz="4" w:space="0"/>
              <w:left w:val="single" w:color="auto" w:sz="4" w:space="0"/>
              <w:bottom w:val="single" w:color="auto" w:sz="8" w:space="0"/>
              <w:right w:val="single" w:color="auto" w:sz="4" w:space="0"/>
            </w:tcBorders>
            <w:vAlign w:val="center"/>
          </w:tcPr>
          <w:p w14:paraId="6F043280">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未建立使用登记、定期报检制度；</w:t>
            </w:r>
            <w:r>
              <w:rPr>
                <w:rFonts w:hint="eastAsia" w:hAnsi="宋体"/>
                <w:bCs/>
                <w:color w:val="000000" w:themeColor="text1"/>
                <w:sz w:val="18"/>
                <w:szCs w:val="18"/>
              </w:rPr>
              <w:br w:type="textWrapping"/>
            </w:r>
            <w:r>
              <w:rPr>
                <w:rFonts w:hint="eastAsia" w:hAnsi="宋体"/>
                <w:bCs/>
                <w:color w:val="000000" w:themeColor="text1"/>
                <w:sz w:val="18"/>
                <w:szCs w:val="18"/>
              </w:rPr>
              <w:t>未建立人员培训制度；</w:t>
            </w:r>
            <w:r>
              <w:rPr>
                <w:rFonts w:hint="eastAsia" w:hAnsi="宋体"/>
                <w:bCs/>
                <w:color w:val="000000" w:themeColor="text1"/>
                <w:sz w:val="18"/>
                <w:szCs w:val="18"/>
              </w:rPr>
              <w:br w:type="textWrapping"/>
            </w:r>
            <w:r>
              <w:rPr>
                <w:rFonts w:hint="eastAsia" w:hAnsi="宋体"/>
                <w:bCs/>
                <w:color w:val="000000" w:themeColor="text1"/>
                <w:sz w:val="18"/>
                <w:szCs w:val="18"/>
              </w:rPr>
              <w:t>未建立采购、改造、修理、报废等管理制度；</w:t>
            </w:r>
            <w:r>
              <w:rPr>
                <w:rFonts w:hint="eastAsia" w:hAnsi="宋体"/>
                <w:bCs/>
                <w:color w:val="000000" w:themeColor="text1"/>
                <w:sz w:val="18"/>
                <w:szCs w:val="18"/>
              </w:rPr>
              <w:br w:type="textWrapping"/>
            </w:r>
            <w:r>
              <w:rPr>
                <w:rFonts w:hint="eastAsia" w:hAnsi="宋体"/>
                <w:bCs/>
                <w:color w:val="000000" w:themeColor="text1"/>
                <w:sz w:val="18"/>
                <w:szCs w:val="18"/>
              </w:rPr>
              <w:t>未建立经常性维护保养、定期自行检测制度；</w:t>
            </w:r>
          </w:p>
          <w:p w14:paraId="4EF8BCE7">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未建立应急救援管理制度；</w:t>
            </w:r>
            <w:r>
              <w:rPr>
                <w:rFonts w:hint="eastAsia" w:hAnsi="宋体"/>
                <w:bCs/>
                <w:color w:val="000000" w:themeColor="text1"/>
                <w:sz w:val="18"/>
                <w:szCs w:val="18"/>
              </w:rPr>
              <w:br w:type="textWrapping"/>
            </w:r>
            <w:r>
              <w:rPr>
                <w:rFonts w:hint="eastAsia" w:hAnsi="宋体"/>
                <w:bCs/>
                <w:color w:val="000000" w:themeColor="text1"/>
                <w:sz w:val="18"/>
                <w:szCs w:val="18"/>
              </w:rPr>
              <w:t>未建立事故报告和处理制度；</w:t>
            </w:r>
          </w:p>
          <w:p w14:paraId="5964902B">
            <w:pPr>
              <w:pStyle w:val="233"/>
              <w:spacing w:line="300" w:lineRule="exact"/>
              <w:ind w:firstLine="0" w:firstLineChars="0"/>
              <w:rPr>
                <w:rFonts w:hAnsi="宋体"/>
                <w:strike/>
                <w:color w:val="000000" w:themeColor="text1"/>
                <w:sz w:val="18"/>
                <w:szCs w:val="18"/>
              </w:rPr>
            </w:pPr>
            <w:r>
              <w:rPr>
                <w:rFonts w:hint="eastAsia" w:hAnsi="宋体"/>
                <w:bCs/>
                <w:color w:val="000000" w:themeColor="text1"/>
                <w:sz w:val="18"/>
                <w:szCs w:val="18"/>
              </w:rPr>
              <w:t>未建立健全日管控、周排查、月调度工作制度</w:t>
            </w:r>
          </w:p>
        </w:tc>
        <w:tc>
          <w:tcPr>
            <w:tcW w:w="1842" w:type="dxa"/>
            <w:gridSpan w:val="2"/>
            <w:tcBorders>
              <w:top w:val="single" w:color="auto" w:sz="4" w:space="0"/>
              <w:left w:val="single" w:color="auto" w:sz="4" w:space="0"/>
              <w:bottom w:val="single" w:color="auto" w:sz="8" w:space="0"/>
              <w:right w:val="single" w:color="auto" w:sz="4" w:space="0"/>
            </w:tcBorders>
            <w:vAlign w:val="center"/>
          </w:tcPr>
          <w:p w14:paraId="4B60A252">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tcBorders>
              <w:top w:val="single" w:color="auto" w:sz="4" w:space="0"/>
              <w:left w:val="single" w:color="auto" w:sz="4" w:space="0"/>
              <w:bottom w:val="single" w:color="auto" w:sz="8" w:space="0"/>
              <w:right w:val="single" w:color="auto" w:sz="4" w:space="0"/>
            </w:tcBorders>
            <w:vAlign w:val="center"/>
          </w:tcPr>
          <w:p w14:paraId="0336A496">
            <w:pPr>
              <w:spacing w:line="300" w:lineRule="exact"/>
              <w:rPr>
                <w:rFonts w:ascii="宋体" w:hAnsi="宋体"/>
                <w:color w:val="000000" w:themeColor="text1"/>
                <w:sz w:val="18"/>
                <w:szCs w:val="18"/>
              </w:rPr>
            </w:pPr>
            <w:r>
              <w:rPr>
                <w:rFonts w:hint="eastAsia" w:ascii="宋体" w:hAnsi="宋体"/>
                <w:color w:val="000000" w:themeColor="text1"/>
                <w:sz w:val="18"/>
                <w:szCs w:val="18"/>
              </w:rPr>
              <w:t>建立健全各项</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安全管理制度；定期对安全管理制度进行修订</w:t>
            </w:r>
          </w:p>
        </w:tc>
        <w:tc>
          <w:tcPr>
            <w:tcW w:w="425" w:type="dxa"/>
            <w:gridSpan w:val="2"/>
            <w:tcBorders>
              <w:top w:val="single" w:color="auto" w:sz="4" w:space="0"/>
              <w:left w:val="single" w:color="auto" w:sz="4" w:space="0"/>
              <w:bottom w:val="single" w:color="auto" w:sz="8" w:space="0"/>
              <w:right w:val="single" w:color="auto" w:sz="4" w:space="0"/>
            </w:tcBorders>
            <w:vAlign w:val="center"/>
          </w:tcPr>
          <w:p w14:paraId="0C8BD3D0">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6" w:type="dxa"/>
            <w:gridSpan w:val="2"/>
            <w:tcBorders>
              <w:top w:val="single" w:color="auto" w:sz="4" w:space="0"/>
              <w:left w:val="single" w:color="auto" w:sz="4" w:space="0"/>
              <w:bottom w:val="single" w:color="auto" w:sz="8" w:space="0"/>
              <w:right w:val="single" w:color="auto" w:sz="4" w:space="0"/>
            </w:tcBorders>
            <w:vAlign w:val="center"/>
          </w:tcPr>
          <w:p w14:paraId="3E22D5F7">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tcBorders>
              <w:top w:val="single" w:color="auto" w:sz="4" w:space="0"/>
              <w:left w:val="single" w:color="auto" w:sz="4" w:space="0"/>
              <w:bottom w:val="single" w:color="auto" w:sz="8" w:space="0"/>
              <w:right w:val="single" w:color="auto" w:sz="4" w:space="0"/>
            </w:tcBorders>
            <w:vAlign w:val="center"/>
          </w:tcPr>
          <w:p w14:paraId="479059BD">
            <w:pPr>
              <w:jc w:val="center"/>
              <w:rPr>
                <w:rFonts w:ascii="宋体" w:hAnsi="宋体"/>
                <w:color w:val="000000" w:themeColor="text1"/>
                <w:sz w:val="18"/>
                <w:szCs w:val="18"/>
              </w:rPr>
            </w:pPr>
            <w:r>
              <w:rPr>
                <w:rFonts w:hint="eastAsia" w:ascii="宋体" w:hAnsi="宋体"/>
                <w:color w:val="000000" w:themeColor="text1"/>
                <w:sz w:val="18"/>
                <w:szCs w:val="18"/>
              </w:rPr>
              <w:t>12</w:t>
            </w:r>
          </w:p>
        </w:tc>
        <w:tc>
          <w:tcPr>
            <w:tcW w:w="425" w:type="dxa"/>
            <w:gridSpan w:val="2"/>
            <w:tcBorders>
              <w:top w:val="single" w:color="auto" w:sz="4" w:space="0"/>
              <w:left w:val="single" w:color="auto" w:sz="4" w:space="0"/>
              <w:bottom w:val="single" w:color="auto" w:sz="8" w:space="0"/>
              <w:right w:val="single" w:color="auto" w:sz="4" w:space="0"/>
            </w:tcBorders>
            <w:vAlign w:val="center"/>
          </w:tcPr>
          <w:p w14:paraId="23D58411">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DDE4D">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gridSpan w:val="2"/>
            <w:tcBorders>
              <w:top w:val="single" w:color="auto" w:sz="4" w:space="0"/>
              <w:left w:val="single" w:color="auto" w:sz="4" w:space="0"/>
              <w:bottom w:val="single" w:color="auto" w:sz="4" w:space="0"/>
              <w:right w:val="single" w:color="auto" w:sz="8" w:space="0"/>
            </w:tcBorders>
            <w:shd w:val="clear" w:color="auto" w:fill="FFFFFF"/>
          </w:tcPr>
          <w:p w14:paraId="033D5B62">
            <w:pPr>
              <w:widowControl/>
              <w:jc w:val="center"/>
              <w:rPr>
                <w:rFonts w:ascii="宋体" w:hAnsi="宋体"/>
                <w:color w:val="000000" w:themeColor="text1"/>
                <w:kern w:val="0"/>
                <w:sz w:val="18"/>
                <w:szCs w:val="18"/>
              </w:rPr>
            </w:pPr>
          </w:p>
        </w:tc>
      </w:tr>
      <w:tr w14:paraId="5F94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vAlign w:val="center"/>
          </w:tcPr>
          <w:p w14:paraId="594309E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vAlign w:val="center"/>
          </w:tcPr>
          <w:p w14:paraId="40B9834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113" w:type="dxa"/>
            <w:vAlign w:val="center"/>
          </w:tcPr>
          <w:p w14:paraId="0A59A85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gridSpan w:val="2"/>
            <w:vAlign w:val="center"/>
          </w:tcPr>
          <w:p w14:paraId="0A123FB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4111" w:type="dxa"/>
            <w:gridSpan w:val="3"/>
            <w:vAlign w:val="center"/>
          </w:tcPr>
          <w:p w14:paraId="3AFF7C8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gridSpan w:val="2"/>
            <w:vAlign w:val="center"/>
          </w:tcPr>
          <w:p w14:paraId="4952C2F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gridSpan w:val="2"/>
            <w:vAlign w:val="center"/>
          </w:tcPr>
          <w:p w14:paraId="5E28E46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gridSpan w:val="2"/>
            <w:vAlign w:val="center"/>
          </w:tcPr>
          <w:p w14:paraId="7441E30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gridSpan w:val="2"/>
            <w:vAlign w:val="center"/>
          </w:tcPr>
          <w:p w14:paraId="77846DD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gridSpan w:val="2"/>
            <w:vAlign w:val="center"/>
          </w:tcPr>
          <w:p w14:paraId="43E876D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gridSpan w:val="2"/>
            <w:vAlign w:val="center"/>
          </w:tcPr>
          <w:p w14:paraId="5578F0C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3DFA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4" w:hRule="atLeast"/>
        </w:trPr>
        <w:tc>
          <w:tcPr>
            <w:tcW w:w="577" w:type="dxa"/>
            <w:vAlign w:val="center"/>
          </w:tcPr>
          <w:p w14:paraId="6FA66AF3">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4</w:t>
            </w:r>
          </w:p>
        </w:tc>
        <w:tc>
          <w:tcPr>
            <w:tcW w:w="567" w:type="dxa"/>
            <w:vMerge w:val="restart"/>
            <w:vAlign w:val="center"/>
          </w:tcPr>
          <w:p w14:paraId="4B0448CB">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管理</w:t>
            </w:r>
          </w:p>
        </w:tc>
        <w:tc>
          <w:tcPr>
            <w:tcW w:w="709" w:type="dxa"/>
            <w:vAlign w:val="center"/>
          </w:tcPr>
          <w:p w14:paraId="4467AC92">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安全技术档案</w:t>
            </w:r>
          </w:p>
        </w:tc>
        <w:tc>
          <w:tcPr>
            <w:tcW w:w="4113" w:type="dxa"/>
            <w:vAlign w:val="center"/>
          </w:tcPr>
          <w:p w14:paraId="1DA46F52">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未建立健全安全技术档案，安全技术档案内容与实际不符</w:t>
            </w:r>
          </w:p>
        </w:tc>
        <w:tc>
          <w:tcPr>
            <w:tcW w:w="1842" w:type="dxa"/>
            <w:gridSpan w:val="2"/>
            <w:vAlign w:val="center"/>
          </w:tcPr>
          <w:p w14:paraId="5AC57D05">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4111" w:type="dxa"/>
            <w:gridSpan w:val="3"/>
            <w:vAlign w:val="center"/>
          </w:tcPr>
          <w:p w14:paraId="6A39E5AD">
            <w:pPr>
              <w:spacing w:line="300" w:lineRule="exact"/>
              <w:rPr>
                <w:rFonts w:ascii="宋体" w:hAnsi="宋体"/>
                <w:color w:val="000000" w:themeColor="text1"/>
                <w:sz w:val="18"/>
                <w:szCs w:val="18"/>
              </w:rPr>
            </w:pPr>
            <w:r>
              <w:rPr>
                <w:rFonts w:hint="eastAsia" w:ascii="宋体" w:hAnsi="宋体"/>
                <w:color w:val="000000" w:themeColor="text1"/>
                <w:sz w:val="18"/>
                <w:szCs w:val="18"/>
              </w:rPr>
              <w:t>完善安全技术档案，确认其与查</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一致，安全技术档案应包含以下内容：</w:t>
            </w:r>
          </w:p>
          <w:p w14:paraId="00857036">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a)</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的配置说明、整机质量证明文件或产品合格证</w:t>
            </w:r>
          </w:p>
          <w:p w14:paraId="7FEE885B">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b)电气原理图、使用维护保养说明、监督检验报告、改造重大修理等相关技术资料和文件；</w:t>
            </w:r>
          </w:p>
          <w:p w14:paraId="79D54C73">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c)定期检验和定期自行检查记录；</w:t>
            </w:r>
          </w:p>
          <w:p w14:paraId="6DE0F255">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d)日常使用状况记录；</w:t>
            </w:r>
          </w:p>
          <w:p w14:paraId="24AB85E5">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e)</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及其主要安全部件等更新维修记录；</w:t>
            </w:r>
          </w:p>
          <w:p w14:paraId="2F639C5F">
            <w:pPr>
              <w:spacing w:line="300" w:lineRule="exact"/>
              <w:rPr>
                <w:rFonts w:ascii="宋体" w:hAnsi="宋体"/>
                <w:color w:val="000000" w:themeColor="text1"/>
                <w:sz w:val="18"/>
                <w:szCs w:val="18"/>
              </w:rPr>
            </w:pPr>
            <w:r>
              <w:rPr>
                <w:rFonts w:hint="eastAsia" w:ascii="宋体" w:hAnsi="宋体" w:cs="Calibri"/>
                <w:bCs/>
                <w:color w:val="000000" w:themeColor="text1"/>
                <w:sz w:val="18"/>
                <w:szCs w:val="18"/>
              </w:rPr>
              <w:t>f)</w:t>
            </w:r>
            <w:r>
              <w:rPr>
                <w:rFonts w:hint="eastAsia" w:ascii="宋体" w:hAnsi="宋体"/>
                <w:bCs/>
                <w:color w:val="000000" w:themeColor="text1"/>
                <w:sz w:val="18"/>
                <w:szCs w:val="18"/>
              </w:rPr>
              <w:t>运行故障和事故记录</w:t>
            </w:r>
          </w:p>
        </w:tc>
        <w:tc>
          <w:tcPr>
            <w:tcW w:w="425" w:type="dxa"/>
            <w:gridSpan w:val="2"/>
            <w:vAlign w:val="center"/>
          </w:tcPr>
          <w:p w14:paraId="4A2F7F95">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6" w:type="dxa"/>
            <w:gridSpan w:val="2"/>
            <w:vAlign w:val="center"/>
          </w:tcPr>
          <w:p w14:paraId="187FE8D9">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vAlign w:val="center"/>
          </w:tcPr>
          <w:p w14:paraId="6095651C">
            <w:pPr>
              <w:jc w:val="center"/>
              <w:rPr>
                <w:rFonts w:ascii="宋体" w:hAnsi="宋体"/>
                <w:color w:val="000000" w:themeColor="text1"/>
                <w:sz w:val="18"/>
                <w:szCs w:val="18"/>
              </w:rPr>
            </w:pPr>
            <w:r>
              <w:rPr>
                <w:rFonts w:hint="eastAsia" w:ascii="宋体" w:hAnsi="宋体"/>
                <w:color w:val="000000" w:themeColor="text1"/>
                <w:sz w:val="18"/>
                <w:szCs w:val="18"/>
              </w:rPr>
              <w:t>12</w:t>
            </w:r>
          </w:p>
        </w:tc>
        <w:tc>
          <w:tcPr>
            <w:tcW w:w="425" w:type="dxa"/>
            <w:gridSpan w:val="2"/>
            <w:vAlign w:val="center"/>
          </w:tcPr>
          <w:p w14:paraId="2A32E5BE">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gridSpan w:val="2"/>
            <w:shd w:val="clear" w:color="auto" w:fill="FFFFFF"/>
            <w:vAlign w:val="center"/>
          </w:tcPr>
          <w:p w14:paraId="64CBB384">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gridSpan w:val="2"/>
            <w:shd w:val="clear" w:color="auto" w:fill="FFFFFF"/>
          </w:tcPr>
          <w:p w14:paraId="590647A4">
            <w:pPr>
              <w:widowControl/>
              <w:jc w:val="center"/>
              <w:rPr>
                <w:rFonts w:ascii="宋体" w:hAnsi="宋体"/>
                <w:color w:val="000000" w:themeColor="text1"/>
                <w:kern w:val="0"/>
                <w:sz w:val="18"/>
                <w:szCs w:val="18"/>
              </w:rPr>
            </w:pPr>
          </w:p>
        </w:tc>
      </w:tr>
      <w:tr w14:paraId="4950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vAlign w:val="center"/>
          </w:tcPr>
          <w:p w14:paraId="73591E85">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5</w:t>
            </w:r>
          </w:p>
        </w:tc>
        <w:tc>
          <w:tcPr>
            <w:tcW w:w="0" w:type="auto"/>
            <w:vMerge w:val="continue"/>
            <w:vAlign w:val="center"/>
          </w:tcPr>
          <w:p w14:paraId="2DD1EFD2">
            <w:pPr>
              <w:widowControl/>
              <w:adjustRightInd/>
              <w:spacing w:line="240" w:lineRule="auto"/>
              <w:jc w:val="left"/>
              <w:rPr>
                <w:rFonts w:ascii="宋体" w:hAnsi="宋体"/>
                <w:color w:val="000000" w:themeColor="text1"/>
                <w:kern w:val="0"/>
                <w:sz w:val="18"/>
                <w:szCs w:val="18"/>
              </w:rPr>
            </w:pPr>
          </w:p>
        </w:tc>
        <w:tc>
          <w:tcPr>
            <w:tcW w:w="709" w:type="dxa"/>
            <w:vAlign w:val="center"/>
          </w:tcPr>
          <w:p w14:paraId="6D286721">
            <w:pPr>
              <w:pStyle w:val="233"/>
              <w:spacing w:line="300" w:lineRule="exact"/>
              <w:ind w:firstLine="0" w:firstLineChars="0"/>
              <w:jc w:val="center"/>
              <w:rPr>
                <w:rFonts w:hAnsi="宋体"/>
                <w:bCs/>
                <w:color w:val="000000" w:themeColor="text1"/>
                <w:sz w:val="18"/>
                <w:szCs w:val="18"/>
              </w:rPr>
            </w:pPr>
            <w:r>
              <w:rPr>
                <w:rFonts w:hint="eastAsia" w:hAnsi="宋体"/>
                <w:bCs/>
                <w:color w:val="000000" w:themeColor="text1"/>
                <w:sz w:val="18"/>
                <w:szCs w:val="18"/>
              </w:rPr>
              <w:t>日常</w:t>
            </w:r>
          </w:p>
          <w:p w14:paraId="4DDADA7A">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巡查</w:t>
            </w:r>
          </w:p>
        </w:tc>
        <w:tc>
          <w:tcPr>
            <w:tcW w:w="4113" w:type="dxa"/>
            <w:vAlign w:val="center"/>
          </w:tcPr>
          <w:p w14:paraId="59A24FCF">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每日投入使用前，未按照使用维护保养说明的要求进行试运行；未在投入运行时定期或者不定期进行巡查，并且记录</w:t>
            </w:r>
          </w:p>
        </w:tc>
        <w:tc>
          <w:tcPr>
            <w:tcW w:w="1842" w:type="dxa"/>
            <w:gridSpan w:val="2"/>
            <w:vAlign w:val="center"/>
          </w:tcPr>
          <w:p w14:paraId="23AF4865">
            <w:pPr>
              <w:widowControl/>
              <w:spacing w:line="300" w:lineRule="exact"/>
              <w:jc w:val="both"/>
              <w:textAlignment w:val="center"/>
              <w:rPr>
                <w:rFonts w:ascii="宋体" w:hAnsi="宋体"/>
                <w:color w:val="000000" w:themeColor="text1"/>
                <w:sz w:val="18"/>
                <w:szCs w:val="18"/>
              </w:rPr>
            </w:pPr>
            <w:r>
              <w:rPr>
                <w:rFonts w:hint="eastAsia" w:ascii="宋体" w:hAnsi="宋体"/>
                <w:color w:val="000000" w:themeColor="text1"/>
                <w:sz w:val="18"/>
                <w:szCs w:val="18"/>
              </w:rPr>
              <w:t>故障、人员伤亡</w:t>
            </w:r>
          </w:p>
        </w:tc>
        <w:tc>
          <w:tcPr>
            <w:tcW w:w="4111" w:type="dxa"/>
            <w:gridSpan w:val="3"/>
            <w:vAlign w:val="center"/>
          </w:tcPr>
          <w:p w14:paraId="010B2852">
            <w:pPr>
              <w:widowControl/>
              <w:spacing w:line="300" w:lineRule="exact"/>
              <w:jc w:val="left"/>
              <w:textAlignment w:val="center"/>
              <w:rPr>
                <w:rFonts w:ascii="宋体" w:hAnsi="宋体"/>
                <w:color w:val="000000" w:themeColor="text1"/>
                <w:sz w:val="18"/>
                <w:szCs w:val="18"/>
              </w:rPr>
            </w:pPr>
            <w:r>
              <w:rPr>
                <w:rFonts w:hint="eastAsia" w:ascii="宋体" w:hAnsi="宋体"/>
                <w:color w:val="000000" w:themeColor="text1"/>
                <w:sz w:val="18"/>
                <w:szCs w:val="18"/>
              </w:rPr>
              <w:t>落实日常巡查工作，并做好记录</w:t>
            </w:r>
          </w:p>
        </w:tc>
        <w:tc>
          <w:tcPr>
            <w:tcW w:w="425" w:type="dxa"/>
            <w:gridSpan w:val="2"/>
            <w:vAlign w:val="center"/>
          </w:tcPr>
          <w:p w14:paraId="73AF1E2C">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gridSpan w:val="2"/>
            <w:vAlign w:val="center"/>
          </w:tcPr>
          <w:p w14:paraId="066A59A8">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vAlign w:val="center"/>
          </w:tcPr>
          <w:p w14:paraId="0276E00F">
            <w:pPr>
              <w:jc w:val="center"/>
              <w:rPr>
                <w:rFonts w:ascii="宋体" w:hAnsi="宋体"/>
                <w:color w:val="000000" w:themeColor="text1"/>
                <w:sz w:val="18"/>
                <w:szCs w:val="18"/>
              </w:rPr>
            </w:pPr>
            <w:r>
              <w:rPr>
                <w:rFonts w:hint="eastAsia" w:ascii="宋体" w:hAnsi="宋体"/>
                <w:color w:val="000000" w:themeColor="text1"/>
                <w:sz w:val="18"/>
                <w:szCs w:val="18"/>
              </w:rPr>
              <w:t>16</w:t>
            </w:r>
          </w:p>
        </w:tc>
        <w:tc>
          <w:tcPr>
            <w:tcW w:w="425" w:type="dxa"/>
            <w:gridSpan w:val="2"/>
            <w:vAlign w:val="center"/>
          </w:tcPr>
          <w:p w14:paraId="63DF25F4">
            <w:pPr>
              <w:jc w:val="center"/>
              <w:rPr>
                <w:rFonts w:ascii="宋体" w:hAnsi="宋体"/>
                <w:color w:val="000000" w:themeColor="text1"/>
                <w:sz w:val="18"/>
                <w:szCs w:val="18"/>
              </w:rPr>
            </w:pPr>
            <w:r>
              <w:rPr>
                <w:rFonts w:hint="eastAsia" w:ascii="宋体" w:hAnsi="宋体"/>
                <w:color w:val="000000" w:themeColor="text1"/>
                <w:sz w:val="18"/>
                <w:szCs w:val="18"/>
              </w:rPr>
              <w:t>2</w:t>
            </w:r>
          </w:p>
        </w:tc>
        <w:tc>
          <w:tcPr>
            <w:tcW w:w="425" w:type="dxa"/>
            <w:gridSpan w:val="2"/>
            <w:shd w:val="clear" w:color="auto" w:fill="FFFFFF"/>
            <w:vAlign w:val="center"/>
          </w:tcPr>
          <w:p w14:paraId="791C8CEC">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gridSpan w:val="2"/>
            <w:shd w:val="clear" w:color="auto" w:fill="FFFFFF"/>
          </w:tcPr>
          <w:p w14:paraId="3C810CFB">
            <w:pPr>
              <w:widowControl/>
              <w:jc w:val="center"/>
              <w:rPr>
                <w:rFonts w:ascii="宋体" w:hAnsi="宋体"/>
                <w:color w:val="000000" w:themeColor="text1"/>
                <w:kern w:val="0"/>
                <w:sz w:val="18"/>
                <w:szCs w:val="18"/>
              </w:rPr>
            </w:pPr>
          </w:p>
        </w:tc>
      </w:tr>
      <w:tr w14:paraId="04FA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vAlign w:val="center"/>
          </w:tcPr>
          <w:p w14:paraId="145F4159">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6</w:t>
            </w:r>
          </w:p>
        </w:tc>
        <w:tc>
          <w:tcPr>
            <w:tcW w:w="0" w:type="auto"/>
            <w:vMerge w:val="continue"/>
            <w:vAlign w:val="center"/>
          </w:tcPr>
          <w:p w14:paraId="06761224">
            <w:pPr>
              <w:widowControl/>
              <w:adjustRightInd/>
              <w:spacing w:line="240" w:lineRule="auto"/>
              <w:jc w:val="left"/>
              <w:rPr>
                <w:rFonts w:ascii="宋体" w:hAnsi="宋体"/>
                <w:color w:val="000000" w:themeColor="text1"/>
                <w:kern w:val="0"/>
                <w:sz w:val="18"/>
                <w:szCs w:val="18"/>
              </w:rPr>
            </w:pPr>
          </w:p>
        </w:tc>
        <w:tc>
          <w:tcPr>
            <w:tcW w:w="709" w:type="dxa"/>
            <w:vAlign w:val="center"/>
          </w:tcPr>
          <w:p w14:paraId="76BFA06D">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应急</w:t>
            </w:r>
          </w:p>
          <w:p w14:paraId="556C4C29">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演练</w:t>
            </w:r>
          </w:p>
        </w:tc>
        <w:tc>
          <w:tcPr>
            <w:tcW w:w="4113" w:type="dxa"/>
            <w:vAlign w:val="center"/>
          </w:tcPr>
          <w:p w14:paraId="481C2AD1">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1.未建立应急救援预案，并开展应急救援演练；</w:t>
            </w:r>
          </w:p>
          <w:p w14:paraId="6FE7711E">
            <w:pPr>
              <w:pStyle w:val="233"/>
              <w:spacing w:line="300" w:lineRule="exact"/>
              <w:ind w:firstLine="0" w:firstLineChars="0"/>
              <w:rPr>
                <w:rFonts w:hAnsi="宋体"/>
                <w:color w:val="000000" w:themeColor="text1"/>
                <w:sz w:val="18"/>
                <w:szCs w:val="18"/>
              </w:rPr>
            </w:pPr>
          </w:p>
        </w:tc>
        <w:tc>
          <w:tcPr>
            <w:tcW w:w="1842" w:type="dxa"/>
            <w:gridSpan w:val="2"/>
            <w:vAlign w:val="center"/>
          </w:tcPr>
          <w:p w14:paraId="4DD16755">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4111" w:type="dxa"/>
            <w:gridSpan w:val="3"/>
            <w:vAlign w:val="center"/>
          </w:tcPr>
          <w:p w14:paraId="610D2534">
            <w:pPr>
              <w:spacing w:line="300" w:lineRule="exact"/>
              <w:rPr>
                <w:rFonts w:ascii="宋体" w:hAnsi="宋体"/>
                <w:color w:val="000000" w:themeColor="text1"/>
                <w:sz w:val="18"/>
                <w:szCs w:val="18"/>
              </w:rPr>
            </w:pPr>
            <w:r>
              <w:rPr>
                <w:rFonts w:hint="eastAsia" w:ascii="宋体" w:hAnsi="宋体"/>
                <w:color w:val="000000" w:themeColor="text1"/>
                <w:sz w:val="18"/>
                <w:szCs w:val="18"/>
              </w:rPr>
              <w:t>制定应急救援预案并定期开展应急演练；</w:t>
            </w:r>
          </w:p>
          <w:p w14:paraId="7CEC6980">
            <w:pPr>
              <w:spacing w:line="300" w:lineRule="exact"/>
              <w:rPr>
                <w:rFonts w:ascii="宋体" w:hAnsi="宋体"/>
                <w:color w:val="000000" w:themeColor="text1"/>
                <w:sz w:val="18"/>
                <w:szCs w:val="18"/>
              </w:rPr>
            </w:pPr>
          </w:p>
        </w:tc>
        <w:tc>
          <w:tcPr>
            <w:tcW w:w="425" w:type="dxa"/>
            <w:gridSpan w:val="2"/>
            <w:vAlign w:val="center"/>
          </w:tcPr>
          <w:p w14:paraId="7AD82E3A">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gridSpan w:val="2"/>
            <w:vAlign w:val="center"/>
          </w:tcPr>
          <w:p w14:paraId="10841DBE">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vAlign w:val="center"/>
          </w:tcPr>
          <w:p w14:paraId="3C414A6F">
            <w:pPr>
              <w:jc w:val="center"/>
              <w:rPr>
                <w:rFonts w:ascii="宋体" w:hAnsi="宋体"/>
                <w:color w:val="000000" w:themeColor="text1"/>
                <w:sz w:val="18"/>
                <w:szCs w:val="18"/>
              </w:rPr>
            </w:pPr>
            <w:r>
              <w:rPr>
                <w:rFonts w:hint="eastAsia" w:ascii="宋体" w:hAnsi="宋体"/>
                <w:color w:val="000000" w:themeColor="text1"/>
                <w:sz w:val="18"/>
                <w:szCs w:val="18"/>
              </w:rPr>
              <w:t>16</w:t>
            </w:r>
          </w:p>
        </w:tc>
        <w:tc>
          <w:tcPr>
            <w:tcW w:w="425" w:type="dxa"/>
            <w:gridSpan w:val="2"/>
            <w:vAlign w:val="center"/>
          </w:tcPr>
          <w:p w14:paraId="0E41E144">
            <w:pPr>
              <w:jc w:val="center"/>
              <w:rPr>
                <w:rFonts w:ascii="宋体" w:hAnsi="宋体"/>
                <w:color w:val="000000" w:themeColor="text1"/>
                <w:sz w:val="18"/>
                <w:szCs w:val="18"/>
              </w:rPr>
            </w:pPr>
            <w:r>
              <w:rPr>
                <w:rFonts w:hint="eastAsia" w:ascii="宋体" w:hAnsi="宋体"/>
                <w:color w:val="000000" w:themeColor="text1"/>
                <w:sz w:val="18"/>
                <w:szCs w:val="18"/>
              </w:rPr>
              <w:t>2</w:t>
            </w:r>
          </w:p>
        </w:tc>
        <w:tc>
          <w:tcPr>
            <w:tcW w:w="425" w:type="dxa"/>
            <w:gridSpan w:val="2"/>
            <w:shd w:val="clear" w:color="auto" w:fill="FFFFFF"/>
            <w:vAlign w:val="center"/>
          </w:tcPr>
          <w:p w14:paraId="16C7BF72">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gridSpan w:val="2"/>
            <w:shd w:val="clear" w:color="auto" w:fill="FFFFFF"/>
          </w:tcPr>
          <w:p w14:paraId="419457A8">
            <w:pPr>
              <w:widowControl/>
              <w:jc w:val="center"/>
              <w:rPr>
                <w:rFonts w:ascii="宋体" w:hAnsi="宋体"/>
                <w:color w:val="000000" w:themeColor="text1"/>
                <w:kern w:val="0"/>
                <w:sz w:val="18"/>
                <w:szCs w:val="18"/>
              </w:rPr>
            </w:pPr>
          </w:p>
        </w:tc>
      </w:tr>
      <w:tr w14:paraId="3F79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1" w:hRule="atLeast"/>
        </w:trPr>
        <w:tc>
          <w:tcPr>
            <w:tcW w:w="577" w:type="dxa"/>
            <w:vAlign w:val="center"/>
          </w:tcPr>
          <w:p w14:paraId="3259C0AA">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7</w:t>
            </w:r>
          </w:p>
        </w:tc>
        <w:tc>
          <w:tcPr>
            <w:tcW w:w="0" w:type="auto"/>
            <w:vMerge w:val="continue"/>
            <w:vAlign w:val="center"/>
          </w:tcPr>
          <w:p w14:paraId="1AF5A58C">
            <w:pPr>
              <w:widowControl/>
              <w:adjustRightInd/>
              <w:spacing w:line="240" w:lineRule="auto"/>
              <w:jc w:val="left"/>
              <w:rPr>
                <w:rFonts w:ascii="宋体" w:hAnsi="宋体"/>
                <w:color w:val="000000" w:themeColor="text1"/>
                <w:kern w:val="0"/>
                <w:sz w:val="18"/>
                <w:szCs w:val="18"/>
              </w:rPr>
            </w:pPr>
          </w:p>
        </w:tc>
        <w:tc>
          <w:tcPr>
            <w:tcW w:w="709" w:type="dxa"/>
            <w:vAlign w:val="center"/>
          </w:tcPr>
          <w:p w14:paraId="4DCD23C6">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隐患</w:t>
            </w:r>
          </w:p>
          <w:p w14:paraId="67B2922F">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排查</w:t>
            </w:r>
          </w:p>
        </w:tc>
        <w:tc>
          <w:tcPr>
            <w:tcW w:w="4113" w:type="dxa"/>
            <w:vAlign w:val="center"/>
          </w:tcPr>
          <w:p w14:paraId="0725BC92">
            <w:pPr>
              <w:pStyle w:val="233"/>
              <w:spacing w:line="300" w:lineRule="exact"/>
              <w:ind w:firstLine="0" w:firstLineChars="0"/>
              <w:rPr>
                <w:rFonts w:hAnsi="宋体"/>
                <w:b/>
                <w:bCs/>
                <w:color w:val="000000" w:themeColor="text1"/>
                <w:sz w:val="18"/>
                <w:szCs w:val="18"/>
              </w:rPr>
            </w:pPr>
            <w:r>
              <w:rPr>
                <w:rFonts w:hint="eastAsia" w:hAnsi="宋体"/>
                <w:color w:val="000000" w:themeColor="text1"/>
                <w:sz w:val="18"/>
                <w:szCs w:val="18"/>
              </w:rPr>
              <w:t>出现多次故障，未进行原因分析和深入排查</w:t>
            </w:r>
          </w:p>
        </w:tc>
        <w:tc>
          <w:tcPr>
            <w:tcW w:w="1842" w:type="dxa"/>
            <w:gridSpan w:val="2"/>
            <w:vAlign w:val="center"/>
          </w:tcPr>
          <w:p w14:paraId="61150359">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4111" w:type="dxa"/>
            <w:gridSpan w:val="3"/>
            <w:vAlign w:val="center"/>
          </w:tcPr>
          <w:p w14:paraId="1113493C">
            <w:pPr>
              <w:spacing w:line="300" w:lineRule="exact"/>
              <w:rPr>
                <w:rFonts w:ascii="宋体" w:hAnsi="宋体"/>
                <w:color w:val="000000" w:themeColor="text1"/>
                <w:sz w:val="18"/>
                <w:szCs w:val="18"/>
              </w:rPr>
            </w:pPr>
            <w:r>
              <w:rPr>
                <w:rFonts w:hint="eastAsia" w:ascii="宋体" w:hAnsi="宋体"/>
                <w:color w:val="000000" w:themeColor="text1"/>
                <w:sz w:val="18"/>
                <w:szCs w:val="18"/>
              </w:rPr>
              <w:t>落实隐患排查治理制度</w:t>
            </w:r>
          </w:p>
        </w:tc>
        <w:tc>
          <w:tcPr>
            <w:tcW w:w="425" w:type="dxa"/>
            <w:gridSpan w:val="2"/>
            <w:vAlign w:val="center"/>
          </w:tcPr>
          <w:p w14:paraId="7A72AE43">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gridSpan w:val="2"/>
            <w:vAlign w:val="center"/>
          </w:tcPr>
          <w:p w14:paraId="4271D980">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vAlign w:val="center"/>
          </w:tcPr>
          <w:p w14:paraId="2867CDCF">
            <w:pPr>
              <w:jc w:val="center"/>
              <w:rPr>
                <w:rFonts w:ascii="宋体" w:hAnsi="宋体"/>
                <w:color w:val="000000" w:themeColor="text1"/>
                <w:sz w:val="18"/>
                <w:szCs w:val="18"/>
              </w:rPr>
            </w:pPr>
            <w:r>
              <w:rPr>
                <w:rFonts w:hint="eastAsia" w:ascii="宋体" w:hAnsi="宋体"/>
                <w:color w:val="000000" w:themeColor="text1"/>
                <w:sz w:val="18"/>
                <w:szCs w:val="18"/>
              </w:rPr>
              <w:t>16</w:t>
            </w:r>
          </w:p>
        </w:tc>
        <w:tc>
          <w:tcPr>
            <w:tcW w:w="425" w:type="dxa"/>
            <w:gridSpan w:val="2"/>
            <w:vAlign w:val="center"/>
          </w:tcPr>
          <w:p w14:paraId="74258E4C">
            <w:pPr>
              <w:jc w:val="center"/>
              <w:rPr>
                <w:rFonts w:ascii="宋体" w:hAnsi="宋体"/>
                <w:color w:val="000000" w:themeColor="text1"/>
                <w:sz w:val="18"/>
                <w:szCs w:val="18"/>
              </w:rPr>
            </w:pPr>
            <w:r>
              <w:rPr>
                <w:rFonts w:hint="eastAsia" w:ascii="宋体" w:hAnsi="宋体"/>
                <w:color w:val="000000" w:themeColor="text1"/>
                <w:sz w:val="18"/>
                <w:szCs w:val="18"/>
              </w:rPr>
              <w:t>2</w:t>
            </w:r>
          </w:p>
        </w:tc>
        <w:tc>
          <w:tcPr>
            <w:tcW w:w="425" w:type="dxa"/>
            <w:gridSpan w:val="2"/>
            <w:shd w:val="clear" w:color="auto" w:fill="FFFFFF"/>
            <w:vAlign w:val="center"/>
          </w:tcPr>
          <w:p w14:paraId="78C2F4A2">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gridSpan w:val="2"/>
            <w:shd w:val="clear" w:color="auto" w:fill="FFFFFF"/>
          </w:tcPr>
          <w:p w14:paraId="23FD631B">
            <w:pPr>
              <w:widowControl/>
              <w:jc w:val="center"/>
              <w:rPr>
                <w:rFonts w:ascii="宋体" w:hAnsi="宋体"/>
                <w:color w:val="000000" w:themeColor="text1"/>
                <w:kern w:val="0"/>
                <w:sz w:val="18"/>
                <w:szCs w:val="18"/>
              </w:rPr>
            </w:pPr>
          </w:p>
        </w:tc>
      </w:tr>
      <w:tr w14:paraId="2D09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trPr>
        <w:tc>
          <w:tcPr>
            <w:tcW w:w="577" w:type="dxa"/>
            <w:vAlign w:val="center"/>
          </w:tcPr>
          <w:p w14:paraId="345E811A">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8</w:t>
            </w:r>
          </w:p>
        </w:tc>
        <w:tc>
          <w:tcPr>
            <w:tcW w:w="0" w:type="auto"/>
            <w:vMerge w:val="continue"/>
            <w:vAlign w:val="center"/>
          </w:tcPr>
          <w:p w14:paraId="70655433">
            <w:pPr>
              <w:widowControl/>
              <w:adjustRightInd/>
              <w:spacing w:line="240" w:lineRule="auto"/>
              <w:jc w:val="left"/>
              <w:rPr>
                <w:rFonts w:ascii="宋体" w:hAnsi="宋体"/>
                <w:color w:val="000000" w:themeColor="text1"/>
                <w:kern w:val="0"/>
                <w:sz w:val="18"/>
                <w:szCs w:val="18"/>
              </w:rPr>
            </w:pPr>
          </w:p>
        </w:tc>
        <w:tc>
          <w:tcPr>
            <w:tcW w:w="709" w:type="dxa"/>
            <w:vAlign w:val="center"/>
          </w:tcPr>
          <w:p w14:paraId="3A6CFE54">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检验</w:t>
            </w:r>
          </w:p>
          <w:p w14:paraId="1D0549C9">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检测</w:t>
            </w:r>
          </w:p>
        </w:tc>
        <w:tc>
          <w:tcPr>
            <w:tcW w:w="4113" w:type="dxa"/>
            <w:vAlign w:val="center"/>
          </w:tcPr>
          <w:p w14:paraId="61596708">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1.未按要求申报检验、检测</w:t>
            </w:r>
          </w:p>
          <w:p w14:paraId="7729D22F">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2.未对检验检测反馈问题进行有效整改或整改不及时</w:t>
            </w:r>
          </w:p>
          <w:p w14:paraId="41500C5C">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lang w:val="en-US" w:eastAsia="zh-CN"/>
              </w:rPr>
              <w:t>3</w:t>
            </w:r>
            <w:r>
              <w:rPr>
                <w:rFonts w:hint="eastAsia" w:hAnsi="宋体"/>
                <w:bCs/>
                <w:color w:val="000000" w:themeColor="text1"/>
                <w:sz w:val="18"/>
                <w:szCs w:val="18"/>
              </w:rPr>
              <w:t>.未及时换取《特种设备使用标志》</w:t>
            </w:r>
          </w:p>
          <w:p w14:paraId="1000114E">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lang w:val="en-US" w:eastAsia="zh-CN"/>
              </w:rPr>
              <w:t>4</w:t>
            </w:r>
            <w:r>
              <w:rPr>
                <w:rFonts w:hint="eastAsia" w:hAnsi="宋体"/>
                <w:bCs/>
                <w:color w:val="000000" w:themeColor="text1"/>
                <w:sz w:val="18"/>
                <w:szCs w:val="18"/>
              </w:rPr>
              <w:t>.使用单位自行检测，未按安全技术规范要求开展</w:t>
            </w:r>
          </w:p>
        </w:tc>
        <w:tc>
          <w:tcPr>
            <w:tcW w:w="1842" w:type="dxa"/>
            <w:gridSpan w:val="2"/>
            <w:vAlign w:val="center"/>
          </w:tcPr>
          <w:p w14:paraId="0A999EDC">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4111" w:type="dxa"/>
            <w:gridSpan w:val="3"/>
            <w:vAlign w:val="center"/>
          </w:tcPr>
          <w:p w14:paraId="29AC5E45">
            <w:pPr>
              <w:spacing w:line="300" w:lineRule="exact"/>
              <w:rPr>
                <w:rFonts w:ascii="宋体" w:hAnsi="宋体"/>
                <w:color w:val="000000" w:themeColor="text1"/>
                <w:sz w:val="18"/>
                <w:szCs w:val="18"/>
              </w:rPr>
            </w:pPr>
            <w:r>
              <w:rPr>
                <w:rFonts w:hint="eastAsia" w:ascii="宋体" w:hAnsi="宋体"/>
                <w:color w:val="000000" w:themeColor="text1"/>
                <w:sz w:val="18"/>
                <w:szCs w:val="18"/>
              </w:rPr>
              <w:t>按期申报检验、检测；按要求对问题进行整改；按要求落实自行检测并及时换取</w:t>
            </w:r>
            <w:r>
              <w:rPr>
                <w:rFonts w:hint="eastAsia" w:ascii="宋体" w:hAnsi="宋体"/>
                <w:bCs/>
                <w:color w:val="000000" w:themeColor="text1"/>
                <w:sz w:val="18"/>
                <w:szCs w:val="18"/>
              </w:rPr>
              <w:t>《特种设备使用标志》</w:t>
            </w:r>
          </w:p>
        </w:tc>
        <w:tc>
          <w:tcPr>
            <w:tcW w:w="425" w:type="dxa"/>
            <w:gridSpan w:val="2"/>
            <w:vAlign w:val="center"/>
          </w:tcPr>
          <w:p w14:paraId="046D1E2F">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gridSpan w:val="2"/>
            <w:vAlign w:val="center"/>
          </w:tcPr>
          <w:p w14:paraId="76B23A1F">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gridSpan w:val="2"/>
            <w:vAlign w:val="center"/>
          </w:tcPr>
          <w:p w14:paraId="282ED5E0">
            <w:pPr>
              <w:jc w:val="center"/>
              <w:rPr>
                <w:rFonts w:ascii="宋体" w:hAnsi="宋体"/>
                <w:color w:val="000000" w:themeColor="text1"/>
                <w:sz w:val="18"/>
                <w:szCs w:val="18"/>
              </w:rPr>
            </w:pPr>
            <w:r>
              <w:rPr>
                <w:rFonts w:hint="eastAsia" w:ascii="宋体" w:hAnsi="宋体"/>
                <w:color w:val="000000" w:themeColor="text1"/>
                <w:sz w:val="18"/>
                <w:szCs w:val="18"/>
              </w:rPr>
              <w:t>16</w:t>
            </w:r>
          </w:p>
        </w:tc>
        <w:tc>
          <w:tcPr>
            <w:tcW w:w="425" w:type="dxa"/>
            <w:gridSpan w:val="2"/>
            <w:vAlign w:val="center"/>
          </w:tcPr>
          <w:p w14:paraId="5F1FD388">
            <w:pPr>
              <w:jc w:val="center"/>
              <w:rPr>
                <w:rFonts w:ascii="宋体" w:hAnsi="宋体"/>
                <w:color w:val="000000" w:themeColor="text1"/>
                <w:sz w:val="18"/>
                <w:szCs w:val="18"/>
              </w:rPr>
            </w:pPr>
            <w:r>
              <w:rPr>
                <w:rFonts w:hint="eastAsia" w:ascii="宋体" w:hAnsi="宋体"/>
                <w:color w:val="000000" w:themeColor="text1"/>
                <w:sz w:val="18"/>
                <w:szCs w:val="18"/>
              </w:rPr>
              <w:t>2</w:t>
            </w:r>
          </w:p>
        </w:tc>
        <w:tc>
          <w:tcPr>
            <w:tcW w:w="425" w:type="dxa"/>
            <w:gridSpan w:val="2"/>
            <w:shd w:val="clear" w:color="auto" w:fill="FFFFFF"/>
            <w:vAlign w:val="center"/>
          </w:tcPr>
          <w:p w14:paraId="25A9423D">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gridSpan w:val="2"/>
            <w:shd w:val="clear" w:color="auto" w:fill="FFFFFF"/>
          </w:tcPr>
          <w:p w14:paraId="00D54B30">
            <w:pPr>
              <w:widowControl/>
              <w:jc w:val="center"/>
              <w:rPr>
                <w:rFonts w:ascii="宋体" w:hAnsi="宋体"/>
                <w:color w:val="000000" w:themeColor="text1"/>
                <w:kern w:val="0"/>
                <w:sz w:val="18"/>
                <w:szCs w:val="18"/>
              </w:rPr>
            </w:pPr>
          </w:p>
        </w:tc>
      </w:tr>
    </w:tbl>
    <w:p w14:paraId="37B284AD">
      <w:pPr>
        <w:pStyle w:val="58"/>
        <w:ind w:firstLine="420"/>
        <w:rPr>
          <w:color w:val="000000" w:themeColor="text1"/>
        </w:rPr>
      </w:pPr>
    </w:p>
    <w:tbl>
      <w:tblPr>
        <w:tblStyle w:val="28"/>
        <w:tblW w:w="14303"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7"/>
        <w:gridCol w:w="1843"/>
        <w:gridCol w:w="3545"/>
        <w:gridCol w:w="425"/>
        <w:gridCol w:w="426"/>
        <w:gridCol w:w="425"/>
        <w:gridCol w:w="425"/>
        <w:gridCol w:w="425"/>
        <w:gridCol w:w="549"/>
      </w:tblGrid>
      <w:tr w14:paraId="1A795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407A52A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1A292E2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6AE2A02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709A90D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79BCA0E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3E1346E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102CF40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7E87C9C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293B667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08AF0AF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3A191C4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68D92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8" w:hRule="atLeast"/>
        </w:trPr>
        <w:tc>
          <w:tcPr>
            <w:tcW w:w="577" w:type="dxa"/>
            <w:tcBorders>
              <w:top w:val="single" w:color="auto" w:sz="8" w:space="0"/>
              <w:left w:val="single" w:color="auto" w:sz="8" w:space="0"/>
              <w:bottom w:val="single" w:color="auto" w:sz="4" w:space="0"/>
              <w:right w:val="single" w:color="auto" w:sz="4" w:space="0"/>
            </w:tcBorders>
            <w:vAlign w:val="center"/>
          </w:tcPr>
          <w:p w14:paraId="0C49EBF6">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9</w:t>
            </w:r>
          </w:p>
        </w:tc>
        <w:tc>
          <w:tcPr>
            <w:tcW w:w="567" w:type="dxa"/>
            <w:vMerge w:val="restart"/>
            <w:tcBorders>
              <w:top w:val="single" w:color="auto" w:sz="8" w:space="0"/>
              <w:left w:val="single" w:color="auto" w:sz="4" w:space="0"/>
              <w:right w:val="single" w:color="auto" w:sz="4" w:space="0"/>
            </w:tcBorders>
            <w:vAlign w:val="center"/>
          </w:tcPr>
          <w:p w14:paraId="033A9689">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管理</w:t>
            </w:r>
          </w:p>
        </w:tc>
        <w:tc>
          <w:tcPr>
            <w:tcW w:w="709" w:type="dxa"/>
            <w:tcBorders>
              <w:top w:val="single" w:color="auto" w:sz="8" w:space="0"/>
              <w:left w:val="single" w:color="auto" w:sz="4" w:space="0"/>
              <w:bottom w:val="single" w:color="auto" w:sz="4" w:space="0"/>
              <w:right w:val="single" w:color="auto" w:sz="4" w:space="0"/>
            </w:tcBorders>
            <w:vAlign w:val="center"/>
          </w:tcPr>
          <w:p w14:paraId="06C0C2CF">
            <w:pPr>
              <w:spacing w:line="300" w:lineRule="exact"/>
              <w:jc w:val="center"/>
              <w:rPr>
                <w:rFonts w:ascii="宋体" w:hAnsi="宋体"/>
                <w:color w:val="000000" w:themeColor="text1"/>
                <w:sz w:val="18"/>
                <w:szCs w:val="18"/>
              </w:rPr>
            </w:pP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保险</w:t>
            </w:r>
          </w:p>
        </w:tc>
        <w:tc>
          <w:tcPr>
            <w:tcW w:w="4385" w:type="dxa"/>
            <w:tcBorders>
              <w:top w:val="single" w:color="auto" w:sz="8" w:space="0"/>
              <w:left w:val="single" w:color="auto" w:sz="4" w:space="0"/>
              <w:bottom w:val="single" w:color="auto" w:sz="4" w:space="0"/>
              <w:right w:val="single" w:color="auto" w:sz="4" w:space="0"/>
            </w:tcBorders>
            <w:vAlign w:val="center"/>
          </w:tcPr>
          <w:p w14:paraId="36B99368">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未</w:t>
            </w:r>
            <w:r>
              <w:rPr>
                <w:rFonts w:hint="eastAsia" w:hAnsi="宋体"/>
                <w:bCs/>
                <w:color w:val="000000" w:themeColor="text1"/>
                <w:sz w:val="18"/>
                <w:szCs w:val="18"/>
                <w:lang w:val="en-US" w:eastAsia="zh-CN"/>
              </w:rPr>
              <w:t>购买塔式起重机设备</w:t>
            </w:r>
            <w:r>
              <w:rPr>
                <w:rFonts w:hint="eastAsia" w:hAnsi="宋体"/>
                <w:bCs/>
                <w:color w:val="000000" w:themeColor="text1"/>
                <w:sz w:val="18"/>
                <w:szCs w:val="18"/>
              </w:rPr>
              <w:t>保险，无事故赔付能力</w:t>
            </w:r>
          </w:p>
        </w:tc>
        <w:tc>
          <w:tcPr>
            <w:tcW w:w="1842" w:type="dxa"/>
            <w:tcBorders>
              <w:top w:val="single" w:color="auto" w:sz="8" w:space="0"/>
              <w:left w:val="single" w:color="auto" w:sz="4" w:space="0"/>
              <w:bottom w:val="single" w:color="auto" w:sz="4" w:space="0"/>
              <w:right w:val="single" w:color="auto" w:sz="4" w:space="0"/>
            </w:tcBorders>
            <w:vAlign w:val="center"/>
          </w:tcPr>
          <w:p w14:paraId="21161160">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tcBorders>
              <w:top w:val="single" w:color="auto" w:sz="8" w:space="0"/>
              <w:left w:val="single" w:color="auto" w:sz="4" w:space="0"/>
              <w:bottom w:val="single" w:color="auto" w:sz="4" w:space="0"/>
              <w:right w:val="single" w:color="auto" w:sz="4" w:space="0"/>
            </w:tcBorders>
            <w:vAlign w:val="center"/>
          </w:tcPr>
          <w:p w14:paraId="668F427D">
            <w:pPr>
              <w:spacing w:line="300" w:lineRule="exact"/>
              <w:rPr>
                <w:rFonts w:ascii="宋体" w:hAnsi="宋体"/>
                <w:color w:val="000000" w:themeColor="text1"/>
                <w:sz w:val="18"/>
                <w:szCs w:val="18"/>
              </w:rPr>
            </w:pPr>
            <w:r>
              <w:rPr>
                <w:rFonts w:hint="eastAsia" w:ascii="宋体" w:hAnsi="宋体"/>
                <w:color w:val="000000" w:themeColor="text1"/>
                <w:sz w:val="18"/>
                <w:szCs w:val="18"/>
              </w:rPr>
              <w:t>为使用的</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购买保险，保障一定的赔付能力</w:t>
            </w:r>
          </w:p>
        </w:tc>
        <w:tc>
          <w:tcPr>
            <w:tcW w:w="425" w:type="dxa"/>
            <w:tcBorders>
              <w:top w:val="single" w:color="auto" w:sz="8" w:space="0"/>
              <w:left w:val="single" w:color="auto" w:sz="4" w:space="0"/>
              <w:bottom w:val="single" w:color="auto" w:sz="4" w:space="0"/>
              <w:right w:val="single" w:color="auto" w:sz="4" w:space="0"/>
            </w:tcBorders>
            <w:vAlign w:val="center"/>
          </w:tcPr>
          <w:p w14:paraId="21ABC0BB">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6" w:type="dxa"/>
            <w:tcBorders>
              <w:top w:val="single" w:color="auto" w:sz="8" w:space="0"/>
              <w:left w:val="single" w:color="auto" w:sz="4" w:space="0"/>
              <w:bottom w:val="single" w:color="auto" w:sz="4" w:space="0"/>
              <w:right w:val="single" w:color="auto" w:sz="4" w:space="0"/>
            </w:tcBorders>
            <w:vAlign w:val="center"/>
          </w:tcPr>
          <w:p w14:paraId="28A4D00A">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tcBorders>
              <w:top w:val="single" w:color="auto" w:sz="8" w:space="0"/>
              <w:left w:val="single" w:color="auto" w:sz="4" w:space="0"/>
              <w:bottom w:val="single" w:color="auto" w:sz="4" w:space="0"/>
              <w:right w:val="single" w:color="auto" w:sz="4" w:space="0"/>
            </w:tcBorders>
            <w:vAlign w:val="center"/>
          </w:tcPr>
          <w:p w14:paraId="217496F3">
            <w:pPr>
              <w:jc w:val="center"/>
              <w:rPr>
                <w:rFonts w:ascii="宋体" w:hAnsi="宋体"/>
                <w:color w:val="000000" w:themeColor="text1"/>
                <w:sz w:val="18"/>
                <w:szCs w:val="18"/>
              </w:rPr>
            </w:pPr>
            <w:r>
              <w:rPr>
                <w:rFonts w:hint="eastAsia" w:ascii="宋体" w:hAnsi="宋体"/>
                <w:color w:val="000000" w:themeColor="text1"/>
                <w:sz w:val="18"/>
                <w:szCs w:val="18"/>
              </w:rPr>
              <w:t>12</w:t>
            </w:r>
          </w:p>
        </w:tc>
        <w:tc>
          <w:tcPr>
            <w:tcW w:w="425" w:type="dxa"/>
            <w:tcBorders>
              <w:top w:val="single" w:color="auto" w:sz="8" w:space="0"/>
              <w:left w:val="single" w:color="auto" w:sz="4" w:space="0"/>
              <w:bottom w:val="single" w:color="auto" w:sz="4" w:space="0"/>
              <w:right w:val="single" w:color="auto" w:sz="4" w:space="0"/>
            </w:tcBorders>
            <w:vAlign w:val="center"/>
          </w:tcPr>
          <w:p w14:paraId="40086197">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089FE31D">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26ED106C">
            <w:pPr>
              <w:widowControl/>
              <w:jc w:val="center"/>
              <w:rPr>
                <w:rFonts w:ascii="宋体" w:hAnsi="宋体"/>
                <w:color w:val="000000" w:themeColor="text1"/>
                <w:kern w:val="0"/>
                <w:sz w:val="18"/>
                <w:szCs w:val="18"/>
              </w:rPr>
            </w:pPr>
          </w:p>
        </w:tc>
      </w:tr>
      <w:tr w14:paraId="2C3D0E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80" w:hRule="atLeast"/>
        </w:trPr>
        <w:tc>
          <w:tcPr>
            <w:tcW w:w="577" w:type="dxa"/>
            <w:tcBorders>
              <w:top w:val="single" w:color="auto" w:sz="4" w:space="0"/>
              <w:left w:val="single" w:color="auto" w:sz="8" w:space="0"/>
              <w:bottom w:val="single" w:color="auto" w:sz="4" w:space="0"/>
              <w:right w:val="single" w:color="auto" w:sz="4" w:space="0"/>
            </w:tcBorders>
            <w:vAlign w:val="center"/>
          </w:tcPr>
          <w:p w14:paraId="03B5D7A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10</w:t>
            </w:r>
          </w:p>
        </w:tc>
        <w:tc>
          <w:tcPr>
            <w:tcW w:w="567" w:type="dxa"/>
            <w:vMerge w:val="continue"/>
            <w:tcBorders>
              <w:left w:val="single" w:color="auto" w:sz="4" w:space="0"/>
              <w:right w:val="single" w:color="auto" w:sz="4" w:space="0"/>
            </w:tcBorders>
            <w:vAlign w:val="center"/>
          </w:tcPr>
          <w:p w14:paraId="39CE1A95">
            <w:pPr>
              <w:widowControl/>
              <w:jc w:val="center"/>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33A42C3">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配件</w:t>
            </w:r>
          </w:p>
          <w:p w14:paraId="0691495C">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保障</w:t>
            </w:r>
          </w:p>
        </w:tc>
        <w:tc>
          <w:tcPr>
            <w:tcW w:w="4385" w:type="dxa"/>
            <w:tcBorders>
              <w:top w:val="single" w:color="auto" w:sz="4" w:space="0"/>
              <w:left w:val="single" w:color="auto" w:sz="4" w:space="0"/>
              <w:bottom w:val="single" w:color="auto" w:sz="4" w:space="0"/>
              <w:right w:val="single" w:color="auto" w:sz="4" w:space="0"/>
            </w:tcBorders>
            <w:vAlign w:val="center"/>
          </w:tcPr>
          <w:p w14:paraId="49E5E676">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1.备件供应量无法持续满足</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部件更换需求</w:t>
            </w:r>
          </w:p>
          <w:p w14:paraId="48CCC003">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2.</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部件超过设计使用年限未进行评估或更换（如果有设计使用年限要求）</w:t>
            </w:r>
          </w:p>
        </w:tc>
        <w:tc>
          <w:tcPr>
            <w:tcW w:w="1842" w:type="dxa"/>
            <w:tcBorders>
              <w:top w:val="single" w:color="auto" w:sz="4" w:space="0"/>
              <w:left w:val="single" w:color="auto" w:sz="4" w:space="0"/>
              <w:bottom w:val="single" w:color="auto" w:sz="4" w:space="0"/>
              <w:right w:val="single" w:color="auto" w:sz="4" w:space="0"/>
            </w:tcBorders>
            <w:vAlign w:val="center"/>
          </w:tcPr>
          <w:p w14:paraId="65776034">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tcBorders>
              <w:top w:val="single" w:color="auto" w:sz="4" w:space="0"/>
              <w:left w:val="single" w:color="auto" w:sz="4" w:space="0"/>
              <w:bottom w:val="single" w:color="auto" w:sz="4" w:space="0"/>
              <w:right w:val="single" w:color="auto" w:sz="4" w:space="0"/>
            </w:tcBorders>
            <w:vAlign w:val="center"/>
          </w:tcPr>
          <w:p w14:paraId="7460BDE5">
            <w:pPr>
              <w:spacing w:line="300" w:lineRule="exact"/>
              <w:rPr>
                <w:rFonts w:ascii="宋体" w:hAnsi="宋体"/>
                <w:color w:val="000000" w:themeColor="text1"/>
                <w:sz w:val="18"/>
                <w:szCs w:val="18"/>
              </w:rPr>
            </w:pPr>
            <w:r>
              <w:rPr>
                <w:rFonts w:hint="eastAsia" w:ascii="宋体" w:hAnsi="宋体"/>
                <w:color w:val="000000" w:themeColor="text1"/>
                <w:sz w:val="18"/>
                <w:szCs w:val="18"/>
              </w:rPr>
              <w:t>及时更新备件、对达到设计使用年限部件进行评估或更换</w:t>
            </w:r>
          </w:p>
        </w:tc>
        <w:tc>
          <w:tcPr>
            <w:tcW w:w="425" w:type="dxa"/>
            <w:tcBorders>
              <w:top w:val="single" w:color="auto" w:sz="4" w:space="0"/>
              <w:left w:val="single" w:color="auto" w:sz="4" w:space="0"/>
              <w:bottom w:val="single" w:color="auto" w:sz="4" w:space="0"/>
              <w:right w:val="single" w:color="auto" w:sz="4" w:space="0"/>
            </w:tcBorders>
            <w:vAlign w:val="center"/>
          </w:tcPr>
          <w:p w14:paraId="2FDFA4FC">
            <w:pPr>
              <w:jc w:val="center"/>
              <w:rPr>
                <w:rFonts w:ascii="宋体" w:hAnsi="宋体"/>
                <w:color w:val="000000" w:themeColor="text1"/>
                <w:sz w:val="18"/>
                <w:szCs w:val="18"/>
              </w:rPr>
            </w:pPr>
            <w:r>
              <w:rPr>
                <w:rFonts w:hint="eastAsia" w:ascii="宋体" w:hAnsi="宋体"/>
                <w:color w:val="000000" w:themeColor="text1"/>
                <w:sz w:val="18"/>
                <w:szCs w:val="18"/>
              </w:rPr>
              <w:t xml:space="preserve">2 </w:t>
            </w:r>
          </w:p>
        </w:tc>
        <w:tc>
          <w:tcPr>
            <w:tcW w:w="426" w:type="dxa"/>
            <w:tcBorders>
              <w:top w:val="single" w:color="auto" w:sz="4" w:space="0"/>
              <w:left w:val="single" w:color="auto" w:sz="4" w:space="0"/>
              <w:bottom w:val="single" w:color="auto" w:sz="4" w:space="0"/>
              <w:right w:val="single" w:color="auto" w:sz="4" w:space="0"/>
            </w:tcBorders>
            <w:vAlign w:val="center"/>
          </w:tcPr>
          <w:p w14:paraId="11EE4FAE">
            <w:pPr>
              <w:jc w:val="center"/>
              <w:rPr>
                <w:rFonts w:ascii="宋体" w:hAnsi="宋体"/>
                <w:color w:val="000000" w:themeColor="text1"/>
                <w:sz w:val="18"/>
                <w:szCs w:val="18"/>
              </w:rPr>
            </w:pPr>
            <w:r>
              <w:rPr>
                <w:rFonts w:hint="eastAsia" w:ascii="宋体" w:hAnsi="宋体"/>
                <w:color w:val="000000" w:themeColor="text1"/>
                <w:sz w:val="18"/>
                <w:szCs w:val="18"/>
              </w:rPr>
              <w:t xml:space="preserve">2 </w:t>
            </w:r>
          </w:p>
        </w:tc>
        <w:tc>
          <w:tcPr>
            <w:tcW w:w="425" w:type="dxa"/>
            <w:tcBorders>
              <w:top w:val="single" w:color="auto" w:sz="4" w:space="0"/>
              <w:left w:val="single" w:color="auto" w:sz="4" w:space="0"/>
              <w:bottom w:val="single" w:color="auto" w:sz="4" w:space="0"/>
              <w:right w:val="single" w:color="auto" w:sz="4" w:space="0"/>
            </w:tcBorders>
            <w:vAlign w:val="center"/>
          </w:tcPr>
          <w:p w14:paraId="34A4D1A7">
            <w:pPr>
              <w:jc w:val="center"/>
              <w:rPr>
                <w:rFonts w:ascii="宋体" w:hAnsi="宋体"/>
                <w:color w:val="000000" w:themeColor="text1"/>
                <w:sz w:val="18"/>
                <w:szCs w:val="18"/>
              </w:rPr>
            </w:pPr>
            <w:r>
              <w:rPr>
                <w:rFonts w:hint="eastAsia" w:ascii="宋体" w:hAnsi="宋体"/>
                <w:color w:val="000000" w:themeColor="text1"/>
                <w:sz w:val="18"/>
                <w:szCs w:val="18"/>
              </w:rPr>
              <w:t xml:space="preserve">4 </w:t>
            </w:r>
          </w:p>
        </w:tc>
        <w:tc>
          <w:tcPr>
            <w:tcW w:w="425" w:type="dxa"/>
            <w:tcBorders>
              <w:top w:val="single" w:color="auto" w:sz="4" w:space="0"/>
              <w:left w:val="single" w:color="auto" w:sz="4" w:space="0"/>
              <w:bottom w:val="single" w:color="auto" w:sz="4" w:space="0"/>
              <w:right w:val="single" w:color="auto" w:sz="4" w:space="0"/>
            </w:tcBorders>
            <w:vAlign w:val="center"/>
          </w:tcPr>
          <w:p w14:paraId="0D3BE83F">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4FC2539">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08670153">
            <w:pPr>
              <w:widowControl/>
              <w:jc w:val="center"/>
              <w:rPr>
                <w:rFonts w:ascii="宋体" w:hAnsi="宋体"/>
                <w:color w:val="000000" w:themeColor="text1"/>
                <w:kern w:val="0"/>
                <w:sz w:val="18"/>
                <w:szCs w:val="18"/>
              </w:rPr>
            </w:pPr>
          </w:p>
        </w:tc>
      </w:tr>
      <w:tr w14:paraId="29553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71" w:hRule="atLeast"/>
        </w:trPr>
        <w:tc>
          <w:tcPr>
            <w:tcW w:w="577" w:type="dxa"/>
            <w:tcBorders>
              <w:top w:val="single" w:color="auto" w:sz="4" w:space="0"/>
              <w:left w:val="single" w:color="auto" w:sz="8" w:space="0"/>
              <w:bottom w:val="single" w:color="auto" w:sz="4" w:space="0"/>
              <w:right w:val="single" w:color="auto" w:sz="4" w:space="0"/>
            </w:tcBorders>
            <w:vAlign w:val="center"/>
          </w:tcPr>
          <w:p w14:paraId="1210C299">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11</w:t>
            </w:r>
          </w:p>
        </w:tc>
        <w:tc>
          <w:tcPr>
            <w:tcW w:w="567" w:type="dxa"/>
            <w:vMerge w:val="restart"/>
            <w:tcBorders>
              <w:left w:val="single" w:color="auto" w:sz="4" w:space="0"/>
              <w:right w:val="single" w:color="auto" w:sz="4" w:space="0"/>
            </w:tcBorders>
            <w:vAlign w:val="center"/>
          </w:tcPr>
          <w:p w14:paraId="597CC8AF">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人员</w:t>
            </w:r>
          </w:p>
        </w:tc>
        <w:tc>
          <w:tcPr>
            <w:tcW w:w="709" w:type="dxa"/>
            <w:tcBorders>
              <w:top w:val="single" w:color="auto" w:sz="4" w:space="0"/>
              <w:left w:val="single" w:color="auto" w:sz="4" w:space="0"/>
              <w:bottom w:val="single" w:color="auto" w:sz="4" w:space="0"/>
              <w:right w:val="single" w:color="auto" w:sz="4" w:space="0"/>
            </w:tcBorders>
            <w:vAlign w:val="center"/>
          </w:tcPr>
          <w:p w14:paraId="6660C080">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主要负责人、安全总监、安全员</w:t>
            </w:r>
          </w:p>
        </w:tc>
        <w:tc>
          <w:tcPr>
            <w:tcW w:w="4385" w:type="dxa"/>
            <w:tcBorders>
              <w:top w:val="single" w:color="auto" w:sz="4" w:space="0"/>
              <w:left w:val="single" w:color="auto" w:sz="4" w:space="0"/>
              <w:bottom w:val="single" w:color="auto" w:sz="4" w:space="0"/>
              <w:right w:val="single" w:color="auto" w:sz="4" w:space="0"/>
            </w:tcBorders>
            <w:vAlign w:val="center"/>
          </w:tcPr>
          <w:p w14:paraId="33372537">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1.未按照《特种设备使用单位落实使用安全主体责任监督管理规定》配备安全总监、安全员；</w:t>
            </w:r>
          </w:p>
          <w:p w14:paraId="0D15890B">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2.未明确主要负责人、安全总监、安全员的岗位职责</w:t>
            </w:r>
          </w:p>
          <w:p w14:paraId="0C00F64B">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3.未履行安全主体责任，未落实日管控、周排查和月调度制度；</w:t>
            </w:r>
          </w:p>
          <w:p w14:paraId="37CF9BD0">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4.未按规定对</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安全总监和安全员进行法律法规、标准和专业知识培训、考核</w:t>
            </w:r>
          </w:p>
        </w:tc>
        <w:tc>
          <w:tcPr>
            <w:tcW w:w="1842" w:type="dxa"/>
            <w:tcBorders>
              <w:top w:val="single" w:color="auto" w:sz="4" w:space="0"/>
              <w:left w:val="single" w:color="auto" w:sz="4" w:space="0"/>
              <w:bottom w:val="single" w:color="auto" w:sz="4" w:space="0"/>
              <w:right w:val="single" w:color="auto" w:sz="4" w:space="0"/>
            </w:tcBorders>
            <w:vAlign w:val="center"/>
          </w:tcPr>
          <w:p w14:paraId="7078F483">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故障、人员伤亡</w:t>
            </w:r>
          </w:p>
        </w:tc>
        <w:tc>
          <w:tcPr>
            <w:tcW w:w="3544" w:type="dxa"/>
            <w:tcBorders>
              <w:top w:val="single" w:color="auto" w:sz="4" w:space="0"/>
              <w:left w:val="single" w:color="auto" w:sz="4" w:space="0"/>
              <w:bottom w:val="single" w:color="auto" w:sz="4" w:space="0"/>
              <w:right w:val="single" w:color="auto" w:sz="4" w:space="0"/>
            </w:tcBorders>
            <w:vAlign w:val="center"/>
          </w:tcPr>
          <w:p w14:paraId="07512F8B">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按要求配备安全总监、安全员；明确岗位职责，对其进行培训、考核，督促其履行岗位职责</w:t>
            </w:r>
          </w:p>
        </w:tc>
        <w:tc>
          <w:tcPr>
            <w:tcW w:w="425" w:type="dxa"/>
            <w:tcBorders>
              <w:top w:val="single" w:color="auto" w:sz="4" w:space="0"/>
              <w:left w:val="single" w:color="auto" w:sz="4" w:space="0"/>
              <w:bottom w:val="single" w:color="auto" w:sz="4" w:space="0"/>
              <w:right w:val="single" w:color="auto" w:sz="4" w:space="0"/>
            </w:tcBorders>
            <w:vAlign w:val="center"/>
          </w:tcPr>
          <w:p w14:paraId="1290627E">
            <w:pPr>
              <w:jc w:val="center"/>
              <w:rPr>
                <w:rFonts w:ascii="宋体" w:hAnsi="宋体"/>
                <w:color w:val="000000" w:themeColor="text1"/>
                <w:sz w:val="18"/>
                <w:szCs w:val="18"/>
              </w:rPr>
            </w:pPr>
            <w:r>
              <w:rPr>
                <w:rFonts w:hint="eastAsia" w:ascii="宋体" w:hAnsi="宋体"/>
                <w:color w:val="000000" w:themeColor="text1"/>
                <w:sz w:val="18"/>
                <w:szCs w:val="18"/>
              </w:rPr>
              <w:t xml:space="preserve">4 </w:t>
            </w:r>
          </w:p>
        </w:tc>
        <w:tc>
          <w:tcPr>
            <w:tcW w:w="426" w:type="dxa"/>
            <w:tcBorders>
              <w:top w:val="single" w:color="auto" w:sz="4" w:space="0"/>
              <w:left w:val="single" w:color="auto" w:sz="4" w:space="0"/>
              <w:bottom w:val="single" w:color="auto" w:sz="4" w:space="0"/>
              <w:right w:val="single" w:color="auto" w:sz="4" w:space="0"/>
            </w:tcBorders>
            <w:vAlign w:val="center"/>
          </w:tcPr>
          <w:p w14:paraId="2C89DAFD">
            <w:pPr>
              <w:jc w:val="center"/>
              <w:rPr>
                <w:rFonts w:ascii="宋体" w:hAnsi="宋体"/>
                <w:color w:val="000000" w:themeColor="text1"/>
                <w:sz w:val="18"/>
                <w:szCs w:val="18"/>
              </w:rPr>
            </w:pPr>
            <w:r>
              <w:rPr>
                <w:rFonts w:hint="eastAsia" w:ascii="宋体" w:hAnsi="宋体"/>
                <w:color w:val="000000" w:themeColor="text1"/>
                <w:sz w:val="18"/>
                <w:szCs w:val="18"/>
              </w:rPr>
              <w:t xml:space="preserve">3 </w:t>
            </w:r>
          </w:p>
        </w:tc>
        <w:tc>
          <w:tcPr>
            <w:tcW w:w="425" w:type="dxa"/>
            <w:tcBorders>
              <w:top w:val="single" w:color="auto" w:sz="4" w:space="0"/>
              <w:left w:val="single" w:color="auto" w:sz="4" w:space="0"/>
              <w:bottom w:val="single" w:color="auto" w:sz="4" w:space="0"/>
              <w:right w:val="single" w:color="auto" w:sz="4" w:space="0"/>
            </w:tcBorders>
            <w:vAlign w:val="center"/>
          </w:tcPr>
          <w:p w14:paraId="2A2F6A57">
            <w:pPr>
              <w:jc w:val="center"/>
              <w:rPr>
                <w:rFonts w:ascii="宋体" w:hAnsi="宋体"/>
                <w:color w:val="000000" w:themeColor="text1"/>
                <w:sz w:val="18"/>
                <w:szCs w:val="18"/>
              </w:rPr>
            </w:pPr>
            <w:r>
              <w:rPr>
                <w:rFonts w:hint="eastAsia" w:ascii="宋体" w:hAnsi="宋体"/>
                <w:color w:val="000000" w:themeColor="text1"/>
                <w:sz w:val="18"/>
                <w:szCs w:val="18"/>
              </w:rPr>
              <w:t xml:space="preserve">12 </w:t>
            </w:r>
          </w:p>
        </w:tc>
        <w:tc>
          <w:tcPr>
            <w:tcW w:w="425" w:type="dxa"/>
            <w:tcBorders>
              <w:top w:val="single" w:color="auto" w:sz="4" w:space="0"/>
              <w:left w:val="single" w:color="auto" w:sz="4" w:space="0"/>
              <w:bottom w:val="single" w:color="auto" w:sz="4" w:space="0"/>
              <w:right w:val="single" w:color="auto" w:sz="4" w:space="0"/>
            </w:tcBorders>
            <w:vAlign w:val="center"/>
          </w:tcPr>
          <w:p w14:paraId="55ECD9EC">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4496A97">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319F227">
            <w:pPr>
              <w:widowControl/>
              <w:jc w:val="center"/>
              <w:rPr>
                <w:rFonts w:ascii="宋体" w:hAnsi="宋体"/>
                <w:color w:val="000000" w:themeColor="text1"/>
                <w:kern w:val="0"/>
                <w:sz w:val="18"/>
                <w:szCs w:val="18"/>
              </w:rPr>
            </w:pPr>
          </w:p>
        </w:tc>
      </w:tr>
      <w:tr w14:paraId="426585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72" w:hRule="atLeast"/>
        </w:trPr>
        <w:tc>
          <w:tcPr>
            <w:tcW w:w="577" w:type="dxa"/>
            <w:tcBorders>
              <w:top w:val="single" w:color="auto" w:sz="4" w:space="0"/>
              <w:left w:val="single" w:color="auto" w:sz="8" w:space="0"/>
              <w:bottom w:val="single" w:color="auto" w:sz="4" w:space="0"/>
              <w:right w:val="single" w:color="auto" w:sz="4" w:space="0"/>
            </w:tcBorders>
            <w:vAlign w:val="center"/>
          </w:tcPr>
          <w:p w14:paraId="741458DB">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12</w:t>
            </w:r>
          </w:p>
        </w:tc>
        <w:tc>
          <w:tcPr>
            <w:tcW w:w="567" w:type="dxa"/>
            <w:vMerge w:val="continue"/>
            <w:tcBorders>
              <w:left w:val="single" w:color="auto" w:sz="4" w:space="0"/>
              <w:right w:val="single" w:color="auto" w:sz="4" w:space="0"/>
            </w:tcBorders>
            <w:vAlign w:val="center"/>
          </w:tcPr>
          <w:p w14:paraId="541B8256">
            <w:pPr>
              <w:widowControl/>
              <w:jc w:val="center"/>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A72D6A4">
            <w:pPr>
              <w:pStyle w:val="233"/>
              <w:spacing w:line="300" w:lineRule="exact"/>
              <w:ind w:firstLine="0" w:firstLineChars="0"/>
              <w:jc w:val="center"/>
              <w:rPr>
                <w:rFonts w:hAnsi="宋体"/>
                <w:bCs/>
                <w:color w:val="000000" w:themeColor="text1"/>
                <w:sz w:val="18"/>
                <w:szCs w:val="18"/>
              </w:rPr>
            </w:pPr>
            <w:r>
              <w:rPr>
                <w:rFonts w:hint="eastAsia" w:hAnsi="宋体"/>
                <w:bCs/>
                <w:color w:val="000000" w:themeColor="text1"/>
                <w:sz w:val="18"/>
                <w:szCs w:val="18"/>
              </w:rPr>
              <w:t>安全</w:t>
            </w:r>
          </w:p>
          <w:p w14:paraId="45BD9724">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管理员</w:t>
            </w:r>
          </w:p>
        </w:tc>
        <w:tc>
          <w:tcPr>
            <w:tcW w:w="4385" w:type="dxa"/>
            <w:tcBorders>
              <w:top w:val="single" w:color="auto" w:sz="4" w:space="0"/>
              <w:left w:val="single" w:color="auto" w:sz="4" w:space="0"/>
              <w:bottom w:val="single" w:color="auto" w:sz="4" w:space="0"/>
              <w:right w:val="single" w:color="auto" w:sz="4" w:space="0"/>
            </w:tcBorders>
            <w:vAlign w:val="center"/>
          </w:tcPr>
          <w:p w14:paraId="7DC82101">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使用</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总量20台以上(含20台)的，未配备持证的专职安全管理员</w:t>
            </w:r>
          </w:p>
        </w:tc>
        <w:tc>
          <w:tcPr>
            <w:tcW w:w="1842" w:type="dxa"/>
            <w:tcBorders>
              <w:top w:val="single" w:color="auto" w:sz="4" w:space="0"/>
              <w:left w:val="single" w:color="auto" w:sz="4" w:space="0"/>
              <w:bottom w:val="single" w:color="auto" w:sz="4" w:space="0"/>
              <w:right w:val="single" w:color="auto" w:sz="4" w:space="0"/>
            </w:tcBorders>
            <w:vAlign w:val="center"/>
          </w:tcPr>
          <w:p w14:paraId="7CE1DC21">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故障、人员伤亡</w:t>
            </w:r>
          </w:p>
        </w:tc>
        <w:tc>
          <w:tcPr>
            <w:tcW w:w="3544" w:type="dxa"/>
            <w:tcBorders>
              <w:top w:val="single" w:color="auto" w:sz="4" w:space="0"/>
              <w:left w:val="single" w:color="auto" w:sz="4" w:space="0"/>
              <w:bottom w:val="single" w:color="auto" w:sz="4" w:space="0"/>
              <w:right w:val="single" w:color="auto" w:sz="4" w:space="0"/>
            </w:tcBorders>
            <w:vAlign w:val="center"/>
          </w:tcPr>
          <w:p w14:paraId="616DA623">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根据人员管理制度，建立并落实岗位责任制</w:t>
            </w:r>
          </w:p>
        </w:tc>
        <w:tc>
          <w:tcPr>
            <w:tcW w:w="425" w:type="dxa"/>
            <w:tcBorders>
              <w:top w:val="single" w:color="auto" w:sz="4" w:space="0"/>
              <w:left w:val="single" w:color="auto" w:sz="4" w:space="0"/>
              <w:bottom w:val="single" w:color="auto" w:sz="4" w:space="0"/>
              <w:right w:val="single" w:color="auto" w:sz="4" w:space="0"/>
            </w:tcBorders>
            <w:vAlign w:val="center"/>
          </w:tcPr>
          <w:p w14:paraId="4E9BFA8D">
            <w:pPr>
              <w:jc w:val="center"/>
              <w:rPr>
                <w:rFonts w:ascii="宋体" w:hAnsi="宋体"/>
                <w:color w:val="000000" w:themeColor="text1"/>
                <w:sz w:val="18"/>
                <w:szCs w:val="18"/>
              </w:rPr>
            </w:pPr>
            <w:r>
              <w:rPr>
                <w:rFonts w:hint="eastAsia" w:ascii="宋体" w:hAnsi="宋体"/>
                <w:color w:val="000000" w:themeColor="text1"/>
                <w:sz w:val="18"/>
                <w:szCs w:val="18"/>
              </w:rPr>
              <w:t xml:space="preserve">2 </w:t>
            </w:r>
          </w:p>
        </w:tc>
        <w:tc>
          <w:tcPr>
            <w:tcW w:w="426" w:type="dxa"/>
            <w:tcBorders>
              <w:top w:val="single" w:color="auto" w:sz="4" w:space="0"/>
              <w:left w:val="single" w:color="auto" w:sz="4" w:space="0"/>
              <w:bottom w:val="single" w:color="auto" w:sz="4" w:space="0"/>
              <w:right w:val="single" w:color="auto" w:sz="4" w:space="0"/>
            </w:tcBorders>
            <w:vAlign w:val="center"/>
          </w:tcPr>
          <w:p w14:paraId="7DABD600">
            <w:pPr>
              <w:jc w:val="center"/>
              <w:rPr>
                <w:rFonts w:ascii="宋体" w:hAnsi="宋体"/>
                <w:color w:val="000000" w:themeColor="text1"/>
                <w:sz w:val="18"/>
                <w:szCs w:val="18"/>
              </w:rPr>
            </w:pPr>
            <w:r>
              <w:rPr>
                <w:rFonts w:hint="eastAsia" w:ascii="宋体" w:hAnsi="宋体"/>
                <w:color w:val="000000" w:themeColor="text1"/>
                <w:sz w:val="18"/>
                <w:szCs w:val="18"/>
              </w:rPr>
              <w:t xml:space="preserve">2 </w:t>
            </w:r>
          </w:p>
        </w:tc>
        <w:tc>
          <w:tcPr>
            <w:tcW w:w="425" w:type="dxa"/>
            <w:tcBorders>
              <w:top w:val="single" w:color="auto" w:sz="4" w:space="0"/>
              <w:left w:val="single" w:color="auto" w:sz="4" w:space="0"/>
              <w:bottom w:val="single" w:color="auto" w:sz="4" w:space="0"/>
              <w:right w:val="single" w:color="auto" w:sz="4" w:space="0"/>
            </w:tcBorders>
            <w:vAlign w:val="center"/>
          </w:tcPr>
          <w:p w14:paraId="57E916EF">
            <w:pPr>
              <w:jc w:val="center"/>
              <w:rPr>
                <w:rFonts w:ascii="宋体" w:hAnsi="宋体"/>
                <w:color w:val="000000" w:themeColor="text1"/>
                <w:sz w:val="18"/>
                <w:szCs w:val="18"/>
              </w:rPr>
            </w:pPr>
            <w:r>
              <w:rPr>
                <w:rFonts w:hint="eastAsia" w:ascii="宋体" w:hAnsi="宋体"/>
                <w:color w:val="000000" w:themeColor="text1"/>
                <w:sz w:val="18"/>
                <w:szCs w:val="18"/>
              </w:rPr>
              <w:t xml:space="preserve">4 </w:t>
            </w:r>
          </w:p>
        </w:tc>
        <w:tc>
          <w:tcPr>
            <w:tcW w:w="425" w:type="dxa"/>
            <w:tcBorders>
              <w:top w:val="single" w:color="auto" w:sz="4" w:space="0"/>
              <w:left w:val="single" w:color="auto" w:sz="4" w:space="0"/>
              <w:bottom w:val="single" w:color="auto" w:sz="4" w:space="0"/>
              <w:right w:val="single" w:color="auto" w:sz="4" w:space="0"/>
            </w:tcBorders>
            <w:vAlign w:val="center"/>
          </w:tcPr>
          <w:p w14:paraId="5DE2074A">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2EB8F31">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3437CCB5">
            <w:pPr>
              <w:widowControl/>
              <w:jc w:val="center"/>
              <w:rPr>
                <w:rFonts w:ascii="宋体" w:hAnsi="宋体"/>
                <w:color w:val="000000" w:themeColor="text1"/>
                <w:kern w:val="0"/>
                <w:sz w:val="18"/>
                <w:szCs w:val="18"/>
              </w:rPr>
            </w:pPr>
          </w:p>
        </w:tc>
      </w:tr>
      <w:tr w14:paraId="78F440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72" w:hRule="atLeast"/>
        </w:trPr>
        <w:tc>
          <w:tcPr>
            <w:tcW w:w="577" w:type="dxa"/>
            <w:tcBorders>
              <w:top w:val="single" w:color="auto" w:sz="4" w:space="0"/>
              <w:left w:val="single" w:color="auto" w:sz="8" w:space="0"/>
              <w:bottom w:val="single" w:color="auto" w:sz="8" w:space="0"/>
              <w:right w:val="single" w:color="auto" w:sz="4" w:space="0"/>
            </w:tcBorders>
            <w:vAlign w:val="center"/>
          </w:tcPr>
          <w:p w14:paraId="5DF561AC">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13</w:t>
            </w:r>
          </w:p>
        </w:tc>
        <w:tc>
          <w:tcPr>
            <w:tcW w:w="567" w:type="dxa"/>
            <w:tcBorders>
              <w:left w:val="single" w:color="auto" w:sz="4" w:space="0"/>
              <w:bottom w:val="single" w:color="auto" w:sz="8" w:space="0"/>
              <w:right w:val="single" w:color="auto" w:sz="4" w:space="0"/>
            </w:tcBorders>
            <w:vAlign w:val="center"/>
          </w:tcPr>
          <w:p w14:paraId="7B4A1301">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维护</w:t>
            </w:r>
          </w:p>
          <w:p w14:paraId="359D0FC9">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保养</w:t>
            </w:r>
          </w:p>
        </w:tc>
        <w:tc>
          <w:tcPr>
            <w:tcW w:w="709" w:type="dxa"/>
            <w:tcBorders>
              <w:top w:val="single" w:color="auto" w:sz="4" w:space="0"/>
              <w:left w:val="single" w:color="auto" w:sz="4" w:space="0"/>
              <w:bottom w:val="single" w:color="auto" w:sz="8" w:space="0"/>
              <w:right w:val="single" w:color="auto" w:sz="4" w:space="0"/>
            </w:tcBorders>
            <w:vAlign w:val="center"/>
          </w:tcPr>
          <w:p w14:paraId="404A3276">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维护保养委托</w:t>
            </w:r>
          </w:p>
        </w:tc>
        <w:tc>
          <w:tcPr>
            <w:tcW w:w="4385" w:type="dxa"/>
            <w:tcBorders>
              <w:top w:val="single" w:color="auto" w:sz="4" w:space="0"/>
              <w:left w:val="single" w:color="auto" w:sz="4" w:space="0"/>
              <w:bottom w:val="single" w:color="auto" w:sz="8" w:space="0"/>
              <w:right w:val="single" w:color="auto" w:sz="4" w:space="0"/>
            </w:tcBorders>
            <w:vAlign w:val="center"/>
          </w:tcPr>
          <w:p w14:paraId="00ABA9F0">
            <w:pPr>
              <w:pStyle w:val="233"/>
              <w:spacing w:line="300" w:lineRule="exact"/>
              <w:ind w:firstLine="0" w:firstLineChars="0"/>
              <w:rPr>
                <w:rFonts w:hAnsi="宋体"/>
                <w:bCs/>
                <w:color w:val="000000" w:themeColor="text1"/>
                <w:sz w:val="18"/>
                <w:szCs w:val="18"/>
              </w:rPr>
            </w:pPr>
            <w:r>
              <w:rPr>
                <w:rFonts w:hint="eastAsia" w:hAnsi="宋体"/>
                <w:bCs/>
                <w:color w:val="000000" w:themeColor="text1"/>
                <w:sz w:val="18"/>
                <w:szCs w:val="18"/>
              </w:rPr>
              <w:t>1.未委托取得相应许可资质的单位对</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进行日常维护保养；</w:t>
            </w:r>
          </w:p>
          <w:p w14:paraId="4633674B">
            <w:pPr>
              <w:pStyle w:val="233"/>
              <w:spacing w:line="300" w:lineRule="exact"/>
              <w:ind w:firstLine="0" w:firstLineChars="0"/>
              <w:rPr>
                <w:rFonts w:hAnsi="宋体"/>
                <w:color w:val="000000" w:themeColor="text1"/>
                <w:sz w:val="18"/>
                <w:szCs w:val="18"/>
              </w:rPr>
            </w:pPr>
            <w:r>
              <w:rPr>
                <w:rFonts w:hint="eastAsia" w:hAnsi="宋体"/>
                <w:color w:val="000000" w:themeColor="text1"/>
                <w:sz w:val="18"/>
                <w:szCs w:val="18"/>
              </w:rPr>
              <w:t>2.未确认</w:t>
            </w:r>
            <w:r>
              <w:rPr>
                <w:rFonts w:hint="eastAsia" w:hAnsi="宋体"/>
                <w:bCs/>
                <w:color w:val="000000" w:themeColor="text1"/>
                <w:sz w:val="18"/>
                <w:szCs w:val="18"/>
              </w:rPr>
              <w:t>维护保养人员是否持有效证件进行维护保养</w:t>
            </w:r>
          </w:p>
        </w:tc>
        <w:tc>
          <w:tcPr>
            <w:tcW w:w="1842" w:type="dxa"/>
            <w:tcBorders>
              <w:top w:val="single" w:color="auto" w:sz="4" w:space="0"/>
              <w:left w:val="single" w:color="auto" w:sz="4" w:space="0"/>
              <w:bottom w:val="single" w:color="auto" w:sz="8" w:space="0"/>
              <w:right w:val="single" w:color="auto" w:sz="4" w:space="0"/>
            </w:tcBorders>
            <w:vAlign w:val="center"/>
          </w:tcPr>
          <w:p w14:paraId="5BA675F2">
            <w:pPr>
              <w:spacing w:line="300" w:lineRule="exact"/>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tcBorders>
              <w:top w:val="single" w:color="auto" w:sz="4" w:space="0"/>
              <w:left w:val="single" w:color="auto" w:sz="4" w:space="0"/>
              <w:bottom w:val="single" w:color="auto" w:sz="8" w:space="0"/>
              <w:right w:val="single" w:color="auto" w:sz="4" w:space="0"/>
            </w:tcBorders>
            <w:vAlign w:val="center"/>
          </w:tcPr>
          <w:p w14:paraId="704F22CD">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查验维保合同有效性；查验维保单位的资质文件；核实维护保养人员的证件</w:t>
            </w:r>
          </w:p>
        </w:tc>
        <w:tc>
          <w:tcPr>
            <w:tcW w:w="425" w:type="dxa"/>
            <w:tcBorders>
              <w:top w:val="single" w:color="auto" w:sz="4" w:space="0"/>
              <w:left w:val="single" w:color="auto" w:sz="4" w:space="0"/>
              <w:bottom w:val="single" w:color="auto" w:sz="8" w:space="0"/>
              <w:right w:val="single" w:color="auto" w:sz="4" w:space="0"/>
            </w:tcBorders>
            <w:vAlign w:val="center"/>
          </w:tcPr>
          <w:p w14:paraId="6968923A">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8" w:space="0"/>
              <w:right w:val="single" w:color="auto" w:sz="4" w:space="0"/>
            </w:tcBorders>
            <w:vAlign w:val="center"/>
          </w:tcPr>
          <w:p w14:paraId="4403FE08">
            <w:pPr>
              <w:jc w:val="center"/>
              <w:rPr>
                <w:rFonts w:ascii="宋体" w:hAnsi="宋体"/>
                <w:color w:val="000000" w:themeColor="text1"/>
                <w:sz w:val="18"/>
                <w:szCs w:val="18"/>
              </w:rPr>
            </w:pPr>
            <w:r>
              <w:rPr>
                <w:rFonts w:hint="eastAsia" w:ascii="宋体" w:hAnsi="宋体"/>
                <w:color w:val="000000" w:themeColor="text1"/>
                <w:sz w:val="18"/>
                <w:szCs w:val="18"/>
              </w:rPr>
              <w:t>5</w:t>
            </w:r>
          </w:p>
        </w:tc>
        <w:tc>
          <w:tcPr>
            <w:tcW w:w="425" w:type="dxa"/>
            <w:tcBorders>
              <w:top w:val="single" w:color="auto" w:sz="4" w:space="0"/>
              <w:left w:val="single" w:color="auto" w:sz="4" w:space="0"/>
              <w:bottom w:val="single" w:color="auto" w:sz="8" w:space="0"/>
              <w:right w:val="single" w:color="auto" w:sz="4" w:space="0"/>
            </w:tcBorders>
            <w:vAlign w:val="center"/>
          </w:tcPr>
          <w:p w14:paraId="3EE4F297">
            <w:pPr>
              <w:jc w:val="center"/>
              <w:rPr>
                <w:rFonts w:ascii="宋体" w:hAnsi="宋体"/>
                <w:color w:val="000000" w:themeColor="text1"/>
                <w:sz w:val="18"/>
                <w:szCs w:val="18"/>
              </w:rPr>
            </w:pPr>
            <w:r>
              <w:rPr>
                <w:rFonts w:hint="eastAsia" w:ascii="宋体" w:hAnsi="宋体"/>
                <w:color w:val="000000" w:themeColor="text1"/>
                <w:sz w:val="18"/>
                <w:szCs w:val="18"/>
              </w:rPr>
              <w:t>10</w:t>
            </w:r>
          </w:p>
        </w:tc>
        <w:tc>
          <w:tcPr>
            <w:tcW w:w="425" w:type="dxa"/>
            <w:tcBorders>
              <w:top w:val="single" w:color="auto" w:sz="4" w:space="0"/>
              <w:left w:val="single" w:color="auto" w:sz="4" w:space="0"/>
              <w:bottom w:val="single" w:color="auto" w:sz="8" w:space="0"/>
              <w:right w:val="single" w:color="auto" w:sz="4" w:space="0"/>
            </w:tcBorders>
            <w:vAlign w:val="center"/>
          </w:tcPr>
          <w:p w14:paraId="1EBB20FB">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3794F148">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4CF0AEBB">
            <w:pPr>
              <w:widowControl/>
              <w:jc w:val="center"/>
              <w:rPr>
                <w:rFonts w:ascii="宋体" w:hAnsi="宋体"/>
                <w:color w:val="000000" w:themeColor="text1"/>
                <w:kern w:val="0"/>
                <w:sz w:val="18"/>
                <w:szCs w:val="18"/>
              </w:rPr>
            </w:pPr>
          </w:p>
        </w:tc>
      </w:tr>
      <w:tr w14:paraId="0218F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vAlign w:val="center"/>
          </w:tcPr>
          <w:p w14:paraId="478CF4E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vAlign w:val="center"/>
          </w:tcPr>
          <w:p w14:paraId="5E93E78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vAlign w:val="center"/>
          </w:tcPr>
          <w:p w14:paraId="4BD3B3A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vAlign w:val="center"/>
          </w:tcPr>
          <w:p w14:paraId="0C2A50A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vAlign w:val="center"/>
          </w:tcPr>
          <w:p w14:paraId="5CB93BB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vAlign w:val="center"/>
          </w:tcPr>
          <w:p w14:paraId="3EDD6F7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vAlign w:val="center"/>
          </w:tcPr>
          <w:p w14:paraId="0E3E7CF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vAlign w:val="center"/>
          </w:tcPr>
          <w:p w14:paraId="591EBCF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vAlign w:val="center"/>
          </w:tcPr>
          <w:p w14:paraId="7A3A8EF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vAlign w:val="center"/>
          </w:tcPr>
          <w:p w14:paraId="2A33529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vAlign w:val="center"/>
          </w:tcPr>
          <w:p w14:paraId="56F1C86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7279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trPr>
        <w:tc>
          <w:tcPr>
            <w:tcW w:w="577" w:type="dxa"/>
            <w:vAlign w:val="center"/>
          </w:tcPr>
          <w:p w14:paraId="4E08DCD7">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14</w:t>
            </w:r>
          </w:p>
        </w:tc>
        <w:tc>
          <w:tcPr>
            <w:tcW w:w="567" w:type="dxa"/>
            <w:vMerge w:val="restart"/>
            <w:vAlign w:val="center"/>
          </w:tcPr>
          <w:p w14:paraId="43FECFE6">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维护</w:t>
            </w:r>
          </w:p>
          <w:p w14:paraId="5EFE9801">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保养</w:t>
            </w:r>
          </w:p>
        </w:tc>
        <w:tc>
          <w:tcPr>
            <w:tcW w:w="709" w:type="dxa"/>
            <w:vAlign w:val="center"/>
          </w:tcPr>
          <w:p w14:paraId="3DCA5F67">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维护保养监督</w:t>
            </w:r>
          </w:p>
        </w:tc>
        <w:tc>
          <w:tcPr>
            <w:tcW w:w="4385" w:type="dxa"/>
            <w:vAlign w:val="center"/>
          </w:tcPr>
          <w:p w14:paraId="2DE14775">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未监督</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维护保养单位的日常维护保养工作，未在维保、急修记录等工作记录上及时签字确认</w:t>
            </w:r>
          </w:p>
        </w:tc>
        <w:tc>
          <w:tcPr>
            <w:tcW w:w="1842" w:type="dxa"/>
            <w:vAlign w:val="center"/>
          </w:tcPr>
          <w:p w14:paraId="7D5F8614">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w:t>
            </w:r>
          </w:p>
        </w:tc>
        <w:tc>
          <w:tcPr>
            <w:tcW w:w="3544" w:type="dxa"/>
            <w:vAlign w:val="center"/>
          </w:tcPr>
          <w:p w14:paraId="14870262">
            <w:pPr>
              <w:spacing w:line="300" w:lineRule="exact"/>
              <w:rPr>
                <w:rFonts w:ascii="宋体" w:hAnsi="宋体"/>
                <w:color w:val="000000" w:themeColor="text1"/>
                <w:sz w:val="18"/>
                <w:szCs w:val="18"/>
              </w:rPr>
            </w:pPr>
            <w:r>
              <w:rPr>
                <w:rFonts w:hint="eastAsia" w:ascii="宋体" w:hAnsi="宋体"/>
                <w:color w:val="000000" w:themeColor="text1"/>
                <w:sz w:val="18"/>
                <w:szCs w:val="18"/>
              </w:rPr>
              <w:t>落实安全管理人员职责，加强对维保工作的监督</w:t>
            </w:r>
          </w:p>
        </w:tc>
        <w:tc>
          <w:tcPr>
            <w:tcW w:w="425" w:type="dxa"/>
            <w:vAlign w:val="center"/>
          </w:tcPr>
          <w:p w14:paraId="0A848253">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vAlign w:val="center"/>
          </w:tcPr>
          <w:p w14:paraId="6D1A6105">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vAlign w:val="center"/>
          </w:tcPr>
          <w:p w14:paraId="78B7B569">
            <w:pPr>
              <w:jc w:val="center"/>
              <w:rPr>
                <w:rFonts w:ascii="宋体" w:hAnsi="宋体"/>
                <w:color w:val="000000" w:themeColor="text1"/>
                <w:sz w:val="18"/>
                <w:szCs w:val="18"/>
              </w:rPr>
            </w:pPr>
            <w:r>
              <w:rPr>
                <w:rFonts w:ascii="宋体" w:hAnsi="宋体"/>
                <w:color w:val="000000" w:themeColor="text1"/>
                <w:sz w:val="18"/>
                <w:szCs w:val="18"/>
              </w:rPr>
              <w:t>12</w:t>
            </w:r>
          </w:p>
        </w:tc>
        <w:tc>
          <w:tcPr>
            <w:tcW w:w="425" w:type="dxa"/>
            <w:vAlign w:val="center"/>
          </w:tcPr>
          <w:p w14:paraId="41AB6B63">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shd w:val="clear" w:color="auto" w:fill="FFFFFF"/>
            <w:vAlign w:val="center"/>
          </w:tcPr>
          <w:p w14:paraId="3734A44B">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shd w:val="clear" w:color="auto" w:fill="FFFFFF"/>
          </w:tcPr>
          <w:p w14:paraId="352F2F03">
            <w:pPr>
              <w:widowControl/>
              <w:jc w:val="center"/>
              <w:rPr>
                <w:rFonts w:ascii="宋体" w:hAnsi="宋体"/>
                <w:color w:val="000000" w:themeColor="text1"/>
                <w:kern w:val="0"/>
                <w:sz w:val="18"/>
                <w:szCs w:val="18"/>
              </w:rPr>
            </w:pPr>
          </w:p>
        </w:tc>
      </w:tr>
      <w:tr w14:paraId="0DD2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trPr>
        <w:tc>
          <w:tcPr>
            <w:tcW w:w="577" w:type="dxa"/>
            <w:vAlign w:val="center"/>
          </w:tcPr>
          <w:p w14:paraId="4A6E2CF5">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15</w:t>
            </w:r>
          </w:p>
        </w:tc>
        <w:tc>
          <w:tcPr>
            <w:tcW w:w="0" w:type="auto"/>
            <w:vMerge w:val="continue"/>
            <w:vAlign w:val="center"/>
          </w:tcPr>
          <w:p w14:paraId="4587473E">
            <w:pPr>
              <w:widowControl/>
              <w:adjustRightInd/>
              <w:spacing w:line="240" w:lineRule="auto"/>
              <w:jc w:val="left"/>
              <w:rPr>
                <w:rFonts w:ascii="宋体" w:hAnsi="宋体"/>
                <w:color w:val="000000" w:themeColor="text1"/>
                <w:kern w:val="0"/>
                <w:sz w:val="18"/>
                <w:szCs w:val="18"/>
              </w:rPr>
            </w:pPr>
          </w:p>
        </w:tc>
        <w:tc>
          <w:tcPr>
            <w:tcW w:w="709" w:type="dxa"/>
            <w:vAlign w:val="center"/>
          </w:tcPr>
          <w:p w14:paraId="40438A17">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专项整治和召回的跟踪确认</w:t>
            </w:r>
          </w:p>
        </w:tc>
        <w:tc>
          <w:tcPr>
            <w:tcW w:w="4385" w:type="dxa"/>
            <w:vAlign w:val="center"/>
          </w:tcPr>
          <w:p w14:paraId="33C08340">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未对政府有关部门的专项整治和厂家的产品召回活动进行跟踪确认</w:t>
            </w:r>
          </w:p>
        </w:tc>
        <w:tc>
          <w:tcPr>
            <w:tcW w:w="1842" w:type="dxa"/>
            <w:vAlign w:val="center"/>
          </w:tcPr>
          <w:p w14:paraId="3378448D">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故障、人员伤亡</w:t>
            </w:r>
          </w:p>
        </w:tc>
        <w:tc>
          <w:tcPr>
            <w:tcW w:w="3544" w:type="dxa"/>
            <w:vAlign w:val="center"/>
          </w:tcPr>
          <w:p w14:paraId="3B3F9835">
            <w:pPr>
              <w:spacing w:line="300" w:lineRule="exact"/>
              <w:rPr>
                <w:rFonts w:ascii="宋体" w:hAnsi="宋体"/>
                <w:color w:val="000000" w:themeColor="text1"/>
                <w:sz w:val="18"/>
                <w:szCs w:val="18"/>
              </w:rPr>
            </w:pPr>
            <w:r>
              <w:rPr>
                <w:rFonts w:hint="eastAsia" w:ascii="宋体" w:hAnsi="宋体"/>
                <w:color w:val="000000" w:themeColor="text1"/>
                <w:sz w:val="18"/>
                <w:szCs w:val="18"/>
              </w:rPr>
              <w:t>落实岗位责任制，对专项整治和召回涉及到的</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跟踪确认，确保相关隐患被消除</w:t>
            </w:r>
          </w:p>
        </w:tc>
        <w:tc>
          <w:tcPr>
            <w:tcW w:w="425" w:type="dxa"/>
            <w:vAlign w:val="center"/>
          </w:tcPr>
          <w:p w14:paraId="2F35F9A9">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vAlign w:val="center"/>
          </w:tcPr>
          <w:p w14:paraId="6F787D0D">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vAlign w:val="center"/>
          </w:tcPr>
          <w:p w14:paraId="6B14588D">
            <w:pPr>
              <w:jc w:val="center"/>
              <w:rPr>
                <w:rFonts w:ascii="宋体" w:hAnsi="宋体"/>
                <w:color w:val="000000" w:themeColor="text1"/>
                <w:sz w:val="18"/>
                <w:szCs w:val="18"/>
              </w:rPr>
            </w:pPr>
            <w:r>
              <w:rPr>
                <w:rFonts w:ascii="宋体" w:hAnsi="宋体"/>
                <w:color w:val="000000" w:themeColor="text1"/>
                <w:sz w:val="18"/>
                <w:szCs w:val="18"/>
              </w:rPr>
              <w:t>12</w:t>
            </w:r>
          </w:p>
        </w:tc>
        <w:tc>
          <w:tcPr>
            <w:tcW w:w="425" w:type="dxa"/>
            <w:vAlign w:val="center"/>
          </w:tcPr>
          <w:p w14:paraId="48DC87BC">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shd w:val="clear" w:color="auto" w:fill="FFFFFF"/>
            <w:vAlign w:val="center"/>
          </w:tcPr>
          <w:p w14:paraId="25B4EC3D">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shd w:val="clear" w:color="auto" w:fill="FFFFFF"/>
          </w:tcPr>
          <w:p w14:paraId="79A097BF">
            <w:pPr>
              <w:widowControl/>
              <w:jc w:val="center"/>
              <w:rPr>
                <w:rFonts w:ascii="宋体" w:hAnsi="宋体"/>
                <w:color w:val="000000" w:themeColor="text1"/>
                <w:kern w:val="0"/>
                <w:sz w:val="18"/>
                <w:szCs w:val="18"/>
              </w:rPr>
            </w:pPr>
          </w:p>
        </w:tc>
      </w:tr>
      <w:tr w14:paraId="2F75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5" w:hRule="atLeast"/>
        </w:trPr>
        <w:tc>
          <w:tcPr>
            <w:tcW w:w="577" w:type="dxa"/>
            <w:vAlign w:val="center"/>
          </w:tcPr>
          <w:p w14:paraId="7883652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16</w:t>
            </w:r>
          </w:p>
        </w:tc>
        <w:tc>
          <w:tcPr>
            <w:tcW w:w="0" w:type="auto"/>
            <w:vMerge w:val="continue"/>
            <w:vAlign w:val="center"/>
          </w:tcPr>
          <w:p w14:paraId="4D118439">
            <w:pPr>
              <w:widowControl/>
              <w:adjustRightInd/>
              <w:spacing w:line="240" w:lineRule="auto"/>
              <w:jc w:val="left"/>
              <w:rPr>
                <w:rFonts w:ascii="宋体" w:hAnsi="宋体"/>
                <w:color w:val="000000" w:themeColor="text1"/>
                <w:kern w:val="0"/>
                <w:sz w:val="18"/>
                <w:szCs w:val="18"/>
              </w:rPr>
            </w:pPr>
          </w:p>
        </w:tc>
        <w:tc>
          <w:tcPr>
            <w:tcW w:w="709" w:type="dxa"/>
            <w:vAlign w:val="center"/>
          </w:tcPr>
          <w:p w14:paraId="68241F21">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维护保养实施</w:t>
            </w:r>
          </w:p>
        </w:tc>
        <w:tc>
          <w:tcPr>
            <w:tcW w:w="4385" w:type="dxa"/>
            <w:vAlign w:val="center"/>
          </w:tcPr>
          <w:p w14:paraId="29065D3D">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1.未提供维修保养计划(时间、</w:t>
            </w:r>
            <w:r>
              <w:rPr>
                <w:rFonts w:hint="eastAsia" w:hAnsi="宋体"/>
                <w:bCs/>
                <w:color w:val="000000" w:themeColor="text1"/>
                <w:sz w:val="18"/>
                <w:szCs w:val="18"/>
                <w:lang w:val="en-US" w:eastAsia="zh-CN"/>
              </w:rPr>
              <w:t>塔式起重机编号</w:t>
            </w:r>
            <w:r>
              <w:rPr>
                <w:rFonts w:hint="eastAsia" w:hAnsi="宋体"/>
                <w:bCs/>
                <w:color w:val="000000" w:themeColor="text1"/>
                <w:sz w:val="18"/>
                <w:szCs w:val="18"/>
              </w:rPr>
              <w:t>、人员)；</w:t>
            </w:r>
            <w:r>
              <w:rPr>
                <w:rFonts w:hint="eastAsia" w:hAnsi="宋体"/>
                <w:bCs/>
                <w:color w:val="000000" w:themeColor="text1"/>
                <w:sz w:val="18"/>
                <w:szCs w:val="18"/>
              </w:rPr>
              <w:br w:type="textWrapping"/>
            </w:r>
            <w:r>
              <w:rPr>
                <w:rFonts w:hint="eastAsia" w:hAnsi="宋体"/>
                <w:bCs/>
                <w:color w:val="000000" w:themeColor="text1"/>
                <w:sz w:val="18"/>
                <w:szCs w:val="18"/>
              </w:rPr>
              <w:t>2.未在维修保养时放置警示标识和防护装置</w:t>
            </w:r>
          </w:p>
        </w:tc>
        <w:tc>
          <w:tcPr>
            <w:tcW w:w="1842" w:type="dxa"/>
            <w:vAlign w:val="center"/>
          </w:tcPr>
          <w:p w14:paraId="2797B132">
            <w:pPr>
              <w:pStyle w:val="233"/>
              <w:spacing w:line="300" w:lineRule="exact"/>
              <w:ind w:firstLine="0" w:firstLineChars="0"/>
              <w:jc w:val="center"/>
              <w:rPr>
                <w:rFonts w:hAnsi="宋体"/>
                <w:color w:val="000000" w:themeColor="text1"/>
                <w:sz w:val="18"/>
                <w:szCs w:val="18"/>
              </w:rPr>
            </w:pPr>
            <w:r>
              <w:rPr>
                <w:rFonts w:hint="eastAsia" w:hAnsi="宋体"/>
                <w:bCs/>
                <w:color w:val="000000" w:themeColor="text1"/>
                <w:sz w:val="18"/>
                <w:szCs w:val="18"/>
              </w:rPr>
              <w:t>故障、人员伤亡</w:t>
            </w:r>
          </w:p>
        </w:tc>
        <w:tc>
          <w:tcPr>
            <w:tcW w:w="3544" w:type="dxa"/>
            <w:vAlign w:val="center"/>
          </w:tcPr>
          <w:p w14:paraId="03F6057E">
            <w:pPr>
              <w:pStyle w:val="233"/>
              <w:spacing w:line="300" w:lineRule="exact"/>
              <w:ind w:firstLine="0" w:firstLineChars="0"/>
              <w:rPr>
                <w:rFonts w:hAnsi="宋体"/>
                <w:color w:val="000000" w:themeColor="text1"/>
                <w:sz w:val="18"/>
                <w:szCs w:val="18"/>
              </w:rPr>
            </w:pPr>
            <w:r>
              <w:rPr>
                <w:rFonts w:hint="eastAsia" w:hAnsi="宋体"/>
                <w:color w:val="000000" w:themeColor="text1"/>
                <w:sz w:val="18"/>
                <w:szCs w:val="18"/>
              </w:rPr>
              <w:t>提供维修保养计划，维修保养时做好防护工作</w:t>
            </w:r>
          </w:p>
        </w:tc>
        <w:tc>
          <w:tcPr>
            <w:tcW w:w="425" w:type="dxa"/>
            <w:vAlign w:val="center"/>
          </w:tcPr>
          <w:p w14:paraId="060B7B2F">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vAlign w:val="center"/>
          </w:tcPr>
          <w:p w14:paraId="07EBBA21">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5" w:type="dxa"/>
            <w:vAlign w:val="center"/>
          </w:tcPr>
          <w:p w14:paraId="3369F10F">
            <w:pPr>
              <w:jc w:val="center"/>
              <w:rPr>
                <w:rFonts w:ascii="宋体" w:hAnsi="宋体"/>
                <w:color w:val="000000" w:themeColor="text1"/>
                <w:sz w:val="18"/>
                <w:szCs w:val="18"/>
              </w:rPr>
            </w:pPr>
            <w:r>
              <w:rPr>
                <w:rFonts w:hint="eastAsia" w:ascii="宋体" w:hAnsi="宋体"/>
                <w:color w:val="000000" w:themeColor="text1"/>
                <w:sz w:val="18"/>
                <w:szCs w:val="18"/>
              </w:rPr>
              <w:t>16</w:t>
            </w:r>
          </w:p>
        </w:tc>
        <w:tc>
          <w:tcPr>
            <w:tcW w:w="425" w:type="dxa"/>
            <w:vAlign w:val="center"/>
          </w:tcPr>
          <w:p w14:paraId="3321F398">
            <w:pPr>
              <w:jc w:val="center"/>
              <w:rPr>
                <w:rFonts w:ascii="宋体" w:hAnsi="宋体"/>
                <w:color w:val="000000" w:themeColor="text1"/>
                <w:sz w:val="18"/>
                <w:szCs w:val="18"/>
              </w:rPr>
            </w:pPr>
            <w:r>
              <w:rPr>
                <w:rFonts w:hint="eastAsia" w:ascii="宋体" w:hAnsi="宋体"/>
                <w:color w:val="000000" w:themeColor="text1"/>
                <w:sz w:val="18"/>
                <w:szCs w:val="18"/>
              </w:rPr>
              <w:t>2</w:t>
            </w:r>
          </w:p>
        </w:tc>
        <w:tc>
          <w:tcPr>
            <w:tcW w:w="425" w:type="dxa"/>
            <w:shd w:val="clear" w:color="auto" w:fill="FFFFFF"/>
            <w:vAlign w:val="center"/>
          </w:tcPr>
          <w:p w14:paraId="6FF8D1D5">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shd w:val="clear" w:color="auto" w:fill="FFFFFF"/>
          </w:tcPr>
          <w:p w14:paraId="1A6B9145">
            <w:pPr>
              <w:widowControl/>
              <w:jc w:val="center"/>
              <w:rPr>
                <w:rFonts w:ascii="宋体" w:hAnsi="宋体"/>
                <w:color w:val="000000" w:themeColor="text1"/>
                <w:kern w:val="0"/>
                <w:sz w:val="18"/>
                <w:szCs w:val="18"/>
              </w:rPr>
            </w:pPr>
          </w:p>
        </w:tc>
      </w:tr>
      <w:tr w14:paraId="3138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5" w:hRule="atLeast"/>
        </w:trPr>
        <w:tc>
          <w:tcPr>
            <w:tcW w:w="577" w:type="dxa"/>
            <w:vAlign w:val="center"/>
          </w:tcPr>
          <w:p w14:paraId="12013E62">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17</w:t>
            </w:r>
          </w:p>
        </w:tc>
        <w:tc>
          <w:tcPr>
            <w:tcW w:w="0" w:type="auto"/>
            <w:vAlign w:val="center"/>
          </w:tcPr>
          <w:p w14:paraId="4A91972B">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自行</w:t>
            </w:r>
          </w:p>
          <w:p w14:paraId="731BF2C9">
            <w:pPr>
              <w:widowControl/>
              <w:jc w:val="center"/>
              <w:rPr>
                <w:rFonts w:ascii="宋体" w:hAnsi="宋体"/>
                <w:color w:val="000000" w:themeColor="text1"/>
                <w:kern w:val="0"/>
                <w:sz w:val="18"/>
                <w:szCs w:val="18"/>
              </w:rPr>
            </w:pPr>
            <w:r>
              <w:rPr>
                <w:rFonts w:hint="eastAsia" w:ascii="宋体" w:hAnsi="宋体"/>
                <w:color w:val="000000" w:themeColor="text1"/>
                <w:sz w:val="18"/>
                <w:szCs w:val="18"/>
              </w:rPr>
              <w:t>检测</w:t>
            </w:r>
          </w:p>
        </w:tc>
        <w:tc>
          <w:tcPr>
            <w:tcW w:w="709" w:type="dxa"/>
            <w:vAlign w:val="center"/>
          </w:tcPr>
          <w:p w14:paraId="6715F0E3">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自行</w:t>
            </w:r>
          </w:p>
          <w:p w14:paraId="1526A87B">
            <w:pPr>
              <w:widowControl/>
              <w:jc w:val="center"/>
              <w:rPr>
                <w:rFonts w:ascii="宋体" w:hAnsi="宋体"/>
                <w:color w:val="000000" w:themeColor="text1"/>
                <w:kern w:val="0"/>
                <w:sz w:val="18"/>
                <w:szCs w:val="18"/>
              </w:rPr>
            </w:pPr>
            <w:r>
              <w:rPr>
                <w:rFonts w:hint="eastAsia" w:ascii="宋体" w:hAnsi="宋体"/>
                <w:color w:val="000000" w:themeColor="text1"/>
                <w:sz w:val="18"/>
                <w:szCs w:val="18"/>
              </w:rPr>
              <w:t>检测</w:t>
            </w:r>
          </w:p>
        </w:tc>
        <w:tc>
          <w:tcPr>
            <w:tcW w:w="4385" w:type="dxa"/>
            <w:vAlign w:val="center"/>
          </w:tcPr>
          <w:p w14:paraId="7FC29D4B">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未按安全技术规范要求开展检测</w:t>
            </w:r>
          </w:p>
        </w:tc>
        <w:tc>
          <w:tcPr>
            <w:tcW w:w="1842" w:type="dxa"/>
            <w:vAlign w:val="center"/>
          </w:tcPr>
          <w:p w14:paraId="641647E8">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w:t>
            </w:r>
          </w:p>
        </w:tc>
        <w:tc>
          <w:tcPr>
            <w:tcW w:w="3544" w:type="dxa"/>
            <w:vAlign w:val="center"/>
          </w:tcPr>
          <w:p w14:paraId="4032B79C">
            <w:pPr>
              <w:spacing w:line="300" w:lineRule="exact"/>
              <w:rPr>
                <w:rFonts w:ascii="宋体" w:hAnsi="宋体"/>
                <w:color w:val="000000" w:themeColor="text1"/>
                <w:sz w:val="18"/>
                <w:szCs w:val="18"/>
              </w:rPr>
            </w:pPr>
            <w:r>
              <w:rPr>
                <w:rFonts w:hint="eastAsia" w:ascii="宋体" w:hAnsi="宋体"/>
                <w:color w:val="000000" w:themeColor="text1"/>
                <w:sz w:val="18"/>
                <w:szCs w:val="18"/>
              </w:rPr>
              <w:t>核对检测人员证件，监督检测过程</w:t>
            </w:r>
          </w:p>
        </w:tc>
        <w:tc>
          <w:tcPr>
            <w:tcW w:w="425" w:type="dxa"/>
            <w:vAlign w:val="center"/>
          </w:tcPr>
          <w:p w14:paraId="3761940C">
            <w:pPr>
              <w:jc w:val="center"/>
              <w:rPr>
                <w:rFonts w:ascii="宋体" w:hAnsi="宋体"/>
                <w:color w:val="000000" w:themeColor="text1"/>
                <w:sz w:val="18"/>
                <w:szCs w:val="18"/>
              </w:rPr>
            </w:pPr>
            <w:r>
              <w:rPr>
                <w:rFonts w:hint="eastAsia" w:ascii="宋体" w:hAnsi="宋体"/>
                <w:color w:val="000000" w:themeColor="text1"/>
                <w:sz w:val="18"/>
                <w:szCs w:val="18"/>
              </w:rPr>
              <w:t>4</w:t>
            </w:r>
          </w:p>
        </w:tc>
        <w:tc>
          <w:tcPr>
            <w:tcW w:w="426" w:type="dxa"/>
            <w:vAlign w:val="center"/>
          </w:tcPr>
          <w:p w14:paraId="129F43D8">
            <w:pPr>
              <w:jc w:val="center"/>
              <w:rPr>
                <w:rFonts w:ascii="宋体" w:hAnsi="宋体"/>
                <w:color w:val="000000" w:themeColor="text1"/>
                <w:sz w:val="18"/>
                <w:szCs w:val="18"/>
              </w:rPr>
            </w:pPr>
            <w:r>
              <w:rPr>
                <w:rFonts w:hint="eastAsia" w:ascii="宋体" w:hAnsi="宋体"/>
                <w:color w:val="000000" w:themeColor="text1"/>
                <w:sz w:val="18"/>
                <w:szCs w:val="18"/>
              </w:rPr>
              <w:t>3</w:t>
            </w:r>
          </w:p>
        </w:tc>
        <w:tc>
          <w:tcPr>
            <w:tcW w:w="425" w:type="dxa"/>
            <w:vAlign w:val="center"/>
          </w:tcPr>
          <w:p w14:paraId="00B66E0F">
            <w:pPr>
              <w:jc w:val="center"/>
              <w:rPr>
                <w:rFonts w:ascii="宋体" w:hAnsi="宋体"/>
                <w:color w:val="000000" w:themeColor="text1"/>
                <w:sz w:val="18"/>
                <w:szCs w:val="18"/>
              </w:rPr>
            </w:pPr>
            <w:r>
              <w:rPr>
                <w:rFonts w:ascii="宋体" w:hAnsi="宋体"/>
                <w:color w:val="000000" w:themeColor="text1"/>
                <w:sz w:val="18"/>
                <w:szCs w:val="18"/>
              </w:rPr>
              <w:t>12</w:t>
            </w:r>
          </w:p>
        </w:tc>
        <w:tc>
          <w:tcPr>
            <w:tcW w:w="425" w:type="dxa"/>
            <w:vAlign w:val="center"/>
          </w:tcPr>
          <w:p w14:paraId="6EC3AB2E">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shd w:val="clear" w:color="auto" w:fill="FFFFFF"/>
            <w:vAlign w:val="center"/>
          </w:tcPr>
          <w:p w14:paraId="592AF96D">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shd w:val="clear" w:color="auto" w:fill="FFFFFF"/>
          </w:tcPr>
          <w:p w14:paraId="6D68427F">
            <w:pPr>
              <w:widowControl/>
              <w:jc w:val="center"/>
              <w:rPr>
                <w:rFonts w:ascii="宋体" w:hAnsi="宋体"/>
                <w:color w:val="000000" w:themeColor="text1"/>
                <w:kern w:val="0"/>
                <w:sz w:val="18"/>
                <w:szCs w:val="18"/>
              </w:rPr>
            </w:pPr>
          </w:p>
        </w:tc>
      </w:tr>
      <w:tr w14:paraId="3D61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5" w:hRule="atLeast"/>
        </w:trPr>
        <w:tc>
          <w:tcPr>
            <w:tcW w:w="577" w:type="dxa"/>
            <w:vAlign w:val="center"/>
          </w:tcPr>
          <w:p w14:paraId="60595B29">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18</w:t>
            </w:r>
          </w:p>
        </w:tc>
        <w:tc>
          <w:tcPr>
            <w:tcW w:w="0" w:type="auto"/>
            <w:vAlign w:val="center"/>
          </w:tcPr>
          <w:p w14:paraId="0CC4D071">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使用</w:t>
            </w:r>
          </w:p>
          <w:p w14:paraId="09D0BFF8">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环境</w:t>
            </w:r>
          </w:p>
        </w:tc>
        <w:tc>
          <w:tcPr>
            <w:tcW w:w="709" w:type="dxa"/>
            <w:vAlign w:val="center"/>
          </w:tcPr>
          <w:p w14:paraId="5C002ECE">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环境持续满足情况</w:t>
            </w:r>
          </w:p>
        </w:tc>
        <w:tc>
          <w:tcPr>
            <w:tcW w:w="4385" w:type="dxa"/>
            <w:vAlign w:val="center"/>
          </w:tcPr>
          <w:p w14:paraId="2F79AE28">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1.</w:t>
            </w:r>
            <w:r>
              <w:rPr>
                <w:rFonts w:hint="eastAsia" w:hAnsi="宋体"/>
                <w:bCs/>
                <w:color w:val="000000" w:themeColor="text1"/>
                <w:sz w:val="18"/>
                <w:szCs w:val="18"/>
                <w:lang w:val="en-US" w:eastAsia="zh-CN"/>
              </w:rPr>
              <w:t>超过制造商允许的最大风速、雨、雪、大雾</w:t>
            </w:r>
            <w:r>
              <w:rPr>
                <w:rFonts w:hint="eastAsia" w:hAnsi="宋体"/>
                <w:bCs/>
                <w:color w:val="000000" w:themeColor="text1"/>
                <w:sz w:val="18"/>
                <w:szCs w:val="18"/>
              </w:rPr>
              <w:t>等无法持续满足</w:t>
            </w:r>
            <w:r>
              <w:rPr>
                <w:rFonts w:hint="eastAsia" w:hAnsi="宋体"/>
                <w:bCs/>
                <w:color w:val="000000" w:themeColor="text1"/>
                <w:sz w:val="18"/>
                <w:szCs w:val="18"/>
                <w:lang w:val="en-US" w:eastAsia="zh-CN"/>
              </w:rPr>
              <w:t>塔式起重机</w:t>
            </w:r>
            <w:r>
              <w:rPr>
                <w:rFonts w:hint="eastAsia" w:hAnsi="宋体"/>
                <w:bCs/>
                <w:color w:val="000000" w:themeColor="text1"/>
                <w:sz w:val="18"/>
                <w:szCs w:val="18"/>
              </w:rPr>
              <w:t>正常运行；</w:t>
            </w:r>
          </w:p>
          <w:p w14:paraId="782E5FD6">
            <w:pPr>
              <w:pStyle w:val="233"/>
              <w:spacing w:line="300" w:lineRule="exact"/>
              <w:ind w:firstLine="0" w:firstLineChars="0"/>
              <w:rPr>
                <w:rFonts w:hAnsi="宋体"/>
                <w:color w:val="000000" w:themeColor="text1"/>
                <w:sz w:val="18"/>
                <w:szCs w:val="18"/>
              </w:rPr>
            </w:pPr>
            <w:r>
              <w:rPr>
                <w:rFonts w:hint="eastAsia" w:hAnsi="宋体"/>
                <w:bCs/>
                <w:color w:val="000000" w:themeColor="text1"/>
                <w:sz w:val="18"/>
                <w:szCs w:val="18"/>
              </w:rPr>
              <w:t>2.使用环境发生改变（如使用频率激增、周边环境发生变化等），未采取相应措施</w:t>
            </w:r>
          </w:p>
        </w:tc>
        <w:tc>
          <w:tcPr>
            <w:tcW w:w="1842" w:type="dxa"/>
            <w:vAlign w:val="center"/>
          </w:tcPr>
          <w:p w14:paraId="3B51DF96">
            <w:pPr>
              <w:spacing w:line="300" w:lineRule="exact"/>
              <w:jc w:val="center"/>
              <w:rPr>
                <w:rFonts w:ascii="宋体" w:hAnsi="宋体"/>
                <w:color w:val="000000" w:themeColor="text1"/>
                <w:sz w:val="18"/>
                <w:szCs w:val="18"/>
              </w:rPr>
            </w:pPr>
            <w:r>
              <w:rPr>
                <w:rFonts w:hint="eastAsia" w:ascii="宋体" w:hAnsi="宋体"/>
                <w:color w:val="000000" w:themeColor="text1"/>
                <w:sz w:val="18"/>
                <w:szCs w:val="18"/>
              </w:rPr>
              <w:t>故障</w:t>
            </w:r>
          </w:p>
        </w:tc>
        <w:tc>
          <w:tcPr>
            <w:tcW w:w="3544" w:type="dxa"/>
            <w:vAlign w:val="center"/>
          </w:tcPr>
          <w:p w14:paraId="776F3ED0">
            <w:pPr>
              <w:spacing w:line="300" w:lineRule="exact"/>
              <w:rPr>
                <w:rFonts w:ascii="宋体" w:hAnsi="宋体"/>
                <w:color w:val="000000" w:themeColor="text1"/>
                <w:sz w:val="18"/>
                <w:szCs w:val="18"/>
              </w:rPr>
            </w:pPr>
            <w:r>
              <w:rPr>
                <w:rFonts w:hint="eastAsia" w:ascii="宋体" w:hAnsi="宋体"/>
                <w:color w:val="000000" w:themeColor="text1"/>
                <w:sz w:val="18"/>
                <w:szCs w:val="18"/>
              </w:rPr>
              <w:t>采取措施确保</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的运行条件</w:t>
            </w:r>
            <w:r>
              <w:rPr>
                <w:rFonts w:hint="eastAsia" w:ascii="宋体" w:hAnsi="宋体"/>
                <w:color w:val="000000" w:themeColor="text1"/>
                <w:sz w:val="18"/>
                <w:szCs w:val="18"/>
                <w:lang w:val="en-US" w:eastAsia="zh-CN"/>
              </w:rPr>
              <w:t>或者暂停使用</w:t>
            </w:r>
            <w:r>
              <w:rPr>
                <w:rFonts w:hint="eastAsia" w:ascii="宋体" w:hAnsi="宋体"/>
                <w:color w:val="000000" w:themeColor="text1"/>
                <w:sz w:val="18"/>
                <w:szCs w:val="18"/>
              </w:rPr>
              <w:t>；使用环境改变时采取相应措施保障</w:t>
            </w:r>
            <w:r>
              <w:rPr>
                <w:rFonts w:hint="eastAsia" w:hAnsi="宋体"/>
                <w:bCs/>
                <w:color w:val="000000" w:themeColor="text1"/>
                <w:sz w:val="18"/>
                <w:szCs w:val="18"/>
                <w:lang w:val="en-US" w:eastAsia="zh-CN"/>
              </w:rPr>
              <w:t>塔式起重机</w:t>
            </w:r>
            <w:r>
              <w:rPr>
                <w:rFonts w:hint="eastAsia" w:ascii="宋体" w:hAnsi="宋体"/>
                <w:color w:val="000000" w:themeColor="text1"/>
                <w:sz w:val="18"/>
                <w:szCs w:val="18"/>
              </w:rPr>
              <w:t>安全运行</w:t>
            </w:r>
          </w:p>
        </w:tc>
        <w:tc>
          <w:tcPr>
            <w:tcW w:w="425" w:type="dxa"/>
            <w:vAlign w:val="center"/>
          </w:tcPr>
          <w:p w14:paraId="572E3CCD">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vAlign w:val="center"/>
          </w:tcPr>
          <w:p w14:paraId="784A339A">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vAlign w:val="center"/>
          </w:tcPr>
          <w:p w14:paraId="60E58776">
            <w:pPr>
              <w:jc w:val="center"/>
              <w:rPr>
                <w:rFonts w:ascii="宋体" w:hAnsi="宋体"/>
                <w:color w:val="000000" w:themeColor="text1"/>
                <w:sz w:val="18"/>
                <w:szCs w:val="18"/>
              </w:rPr>
            </w:pPr>
            <w:r>
              <w:rPr>
                <w:rFonts w:ascii="宋体" w:hAnsi="宋体"/>
                <w:color w:val="000000" w:themeColor="text1"/>
                <w:sz w:val="18"/>
                <w:szCs w:val="18"/>
              </w:rPr>
              <w:t>12</w:t>
            </w:r>
          </w:p>
        </w:tc>
        <w:tc>
          <w:tcPr>
            <w:tcW w:w="425" w:type="dxa"/>
            <w:vAlign w:val="center"/>
          </w:tcPr>
          <w:p w14:paraId="051C4889">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shd w:val="clear" w:color="auto" w:fill="FFFFFF"/>
            <w:vAlign w:val="center"/>
          </w:tcPr>
          <w:p w14:paraId="49713ED3">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shd w:val="clear" w:color="auto" w:fill="FFFFFF"/>
          </w:tcPr>
          <w:p w14:paraId="22D8AC32">
            <w:pPr>
              <w:widowControl/>
              <w:jc w:val="center"/>
              <w:rPr>
                <w:rFonts w:ascii="宋体" w:hAnsi="宋体"/>
                <w:color w:val="000000" w:themeColor="text1"/>
                <w:kern w:val="0"/>
                <w:sz w:val="18"/>
                <w:szCs w:val="18"/>
              </w:rPr>
            </w:pPr>
          </w:p>
        </w:tc>
      </w:tr>
    </w:tbl>
    <w:p w14:paraId="163727D8">
      <w:pPr>
        <w:pStyle w:val="58"/>
        <w:ind w:firstLine="420"/>
        <w:rPr>
          <w:color w:val="000000" w:themeColor="text1"/>
        </w:rPr>
      </w:pPr>
    </w:p>
    <w:p w14:paraId="5C0649BC">
      <w:pPr>
        <w:widowControl/>
        <w:adjustRightInd/>
        <w:spacing w:line="240" w:lineRule="auto"/>
        <w:jc w:val="left"/>
        <w:rPr>
          <w:rFonts w:ascii="宋体" w:hAnsi="Times New Roman"/>
          <w:color w:val="000000" w:themeColor="text1"/>
          <w:kern w:val="0"/>
          <w:szCs w:val="20"/>
        </w:rPr>
      </w:pPr>
      <w:r>
        <w:rPr>
          <w:color w:val="000000" w:themeColor="text1"/>
        </w:rPr>
        <w:br w:type="page"/>
      </w: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7BD7F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465F572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2AFE06C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386BD71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70AF993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55646F7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4F59CF3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127C1AB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6AB8264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338F305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4DC4210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179FA64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258CD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73" w:hRule="atLeast"/>
        </w:trPr>
        <w:tc>
          <w:tcPr>
            <w:tcW w:w="577" w:type="dxa"/>
            <w:tcBorders>
              <w:top w:val="single" w:color="auto" w:sz="8" w:space="0"/>
              <w:left w:val="single" w:color="auto" w:sz="8" w:space="0"/>
              <w:bottom w:val="single" w:color="auto" w:sz="4" w:space="0"/>
              <w:right w:val="single" w:color="auto" w:sz="4" w:space="0"/>
            </w:tcBorders>
            <w:vAlign w:val="center"/>
          </w:tcPr>
          <w:p w14:paraId="0425919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19</w:t>
            </w:r>
          </w:p>
        </w:tc>
        <w:tc>
          <w:tcPr>
            <w:tcW w:w="567" w:type="dxa"/>
            <w:vMerge w:val="restart"/>
            <w:tcBorders>
              <w:top w:val="nil"/>
              <w:left w:val="single" w:color="auto" w:sz="4" w:space="0"/>
              <w:bottom w:val="single" w:color="auto" w:sz="4" w:space="0"/>
              <w:right w:val="single" w:color="auto" w:sz="4" w:space="0"/>
            </w:tcBorders>
            <w:vAlign w:val="center"/>
          </w:tcPr>
          <w:p w14:paraId="65CCF980">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0BC45186">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6AF9B280">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安全距离</w:t>
            </w:r>
          </w:p>
        </w:tc>
        <w:tc>
          <w:tcPr>
            <w:tcW w:w="4385" w:type="dxa"/>
            <w:tcBorders>
              <w:top w:val="single" w:color="auto" w:sz="8" w:space="0"/>
              <w:left w:val="single" w:color="auto" w:sz="4" w:space="0"/>
              <w:bottom w:val="single" w:color="auto" w:sz="4" w:space="0"/>
              <w:right w:val="single" w:color="auto" w:sz="4" w:space="0"/>
            </w:tcBorders>
            <w:vAlign w:val="center"/>
          </w:tcPr>
          <w:p w14:paraId="23C1D30E">
            <w:pPr>
              <w:pStyle w:val="236"/>
              <w:spacing w:before="6" w:beforeAutospacing="0"/>
              <w:ind w:left="27" w:right="118"/>
              <w:rPr>
                <w:rFonts w:cs="Times New Roman"/>
                <w:color w:val="000000" w:themeColor="text1"/>
                <w:sz w:val="18"/>
                <w:szCs w:val="18"/>
              </w:rPr>
            </w:pPr>
            <w:r>
              <w:rPr>
                <w:rFonts w:hint="eastAsia" w:cs="Times New Roman"/>
                <w:color w:val="000000" w:themeColor="text1"/>
                <w:sz w:val="18"/>
                <w:szCs w:val="18"/>
                <w:lang w:val="en-US" w:eastAsia="zh-CN"/>
              </w:rPr>
              <w:t>与相邻塔基、障碍物、架空输电线干涉</w:t>
            </w:r>
          </w:p>
          <w:p w14:paraId="1EA8CC63">
            <w:pPr>
              <w:pStyle w:val="236"/>
              <w:spacing w:before="6" w:beforeAutospacing="0"/>
              <w:ind w:left="27" w:right="118"/>
              <w:rPr>
                <w:rFonts w:cs="Times New Roman"/>
                <w:color w:val="000000" w:themeColor="text1"/>
                <w:sz w:val="18"/>
                <w:szCs w:val="18"/>
              </w:rPr>
            </w:pPr>
          </w:p>
        </w:tc>
        <w:tc>
          <w:tcPr>
            <w:tcW w:w="1842" w:type="dxa"/>
            <w:tcBorders>
              <w:top w:val="single" w:color="auto" w:sz="8" w:space="0"/>
              <w:left w:val="single" w:color="auto" w:sz="4" w:space="0"/>
              <w:bottom w:val="single" w:color="auto" w:sz="4" w:space="0"/>
              <w:right w:val="single" w:color="auto" w:sz="4" w:space="0"/>
            </w:tcBorders>
            <w:vAlign w:val="center"/>
          </w:tcPr>
          <w:p w14:paraId="5ECD3318">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碰撞、坠落、触电</w:t>
            </w:r>
          </w:p>
        </w:tc>
        <w:tc>
          <w:tcPr>
            <w:tcW w:w="3544" w:type="dxa"/>
            <w:tcBorders>
              <w:top w:val="single" w:color="auto" w:sz="8" w:space="0"/>
              <w:left w:val="single" w:color="auto" w:sz="4" w:space="0"/>
              <w:bottom w:val="single" w:color="auto" w:sz="4" w:space="0"/>
              <w:right w:val="single" w:color="auto" w:sz="4" w:space="0"/>
            </w:tcBorders>
            <w:vAlign w:val="center"/>
          </w:tcPr>
          <w:p w14:paraId="4C9DD3D3">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调整</w:t>
            </w:r>
            <w:r>
              <w:rPr>
                <w:rFonts w:hint="eastAsia" w:ascii="宋体" w:hAnsi="宋体"/>
                <w:color w:val="000000" w:themeColor="text1"/>
                <w:sz w:val="18"/>
                <w:szCs w:val="18"/>
                <w:lang w:val="en-US" w:eastAsia="zh-CN"/>
              </w:rPr>
              <w:t>大臂长度，做防碰撞方案，设置输电线安全防护</w:t>
            </w:r>
          </w:p>
        </w:tc>
        <w:tc>
          <w:tcPr>
            <w:tcW w:w="425" w:type="dxa"/>
            <w:tcBorders>
              <w:top w:val="single" w:color="auto" w:sz="8" w:space="0"/>
              <w:left w:val="single" w:color="auto" w:sz="4" w:space="0"/>
              <w:bottom w:val="single" w:color="auto" w:sz="4" w:space="0"/>
              <w:right w:val="single" w:color="auto" w:sz="4" w:space="0"/>
            </w:tcBorders>
            <w:vAlign w:val="center"/>
          </w:tcPr>
          <w:p w14:paraId="6049E1E7">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8" w:space="0"/>
              <w:left w:val="single" w:color="auto" w:sz="4" w:space="0"/>
              <w:bottom w:val="single" w:color="auto" w:sz="4" w:space="0"/>
              <w:right w:val="single" w:color="auto" w:sz="4" w:space="0"/>
            </w:tcBorders>
            <w:vAlign w:val="center"/>
          </w:tcPr>
          <w:p w14:paraId="1A490ADF">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vAlign w:val="center"/>
          </w:tcPr>
          <w:p w14:paraId="2A662199">
            <w:pPr>
              <w:jc w:val="center"/>
              <w:rPr>
                <w:rFonts w:ascii="宋体" w:hAnsi="宋体"/>
                <w:color w:val="000000" w:themeColor="text1"/>
                <w:sz w:val="18"/>
                <w:szCs w:val="18"/>
              </w:rPr>
            </w:pPr>
            <w:r>
              <w:rPr>
                <w:rFonts w:ascii="宋体" w:hAnsi="宋体"/>
                <w:color w:val="000000" w:themeColor="text1"/>
                <w:sz w:val="18"/>
                <w:szCs w:val="18"/>
              </w:rPr>
              <w:t>6</w:t>
            </w:r>
          </w:p>
        </w:tc>
        <w:tc>
          <w:tcPr>
            <w:tcW w:w="425" w:type="dxa"/>
            <w:tcBorders>
              <w:top w:val="single" w:color="auto" w:sz="8" w:space="0"/>
              <w:left w:val="single" w:color="auto" w:sz="4" w:space="0"/>
              <w:bottom w:val="single" w:color="auto" w:sz="4" w:space="0"/>
              <w:right w:val="single" w:color="auto" w:sz="4" w:space="0"/>
            </w:tcBorders>
            <w:vAlign w:val="center"/>
          </w:tcPr>
          <w:p w14:paraId="50EA273A">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228D951F">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3CF5857B">
            <w:pPr>
              <w:widowControl/>
              <w:jc w:val="center"/>
              <w:rPr>
                <w:rFonts w:ascii="宋体" w:hAnsi="宋体"/>
                <w:color w:val="000000" w:themeColor="text1"/>
                <w:kern w:val="0"/>
                <w:sz w:val="18"/>
                <w:szCs w:val="18"/>
              </w:rPr>
            </w:pPr>
          </w:p>
        </w:tc>
      </w:tr>
      <w:tr w14:paraId="351C3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4" w:hRule="atLeast"/>
        </w:trPr>
        <w:tc>
          <w:tcPr>
            <w:tcW w:w="577" w:type="dxa"/>
            <w:tcBorders>
              <w:top w:val="single" w:color="auto" w:sz="4" w:space="0"/>
              <w:left w:val="single" w:color="auto" w:sz="8" w:space="0"/>
              <w:bottom w:val="single" w:color="auto" w:sz="4" w:space="0"/>
              <w:right w:val="single" w:color="auto" w:sz="4" w:space="0"/>
            </w:tcBorders>
            <w:vAlign w:val="center"/>
          </w:tcPr>
          <w:p w14:paraId="4A9DA8A3">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20</w:t>
            </w:r>
          </w:p>
        </w:tc>
        <w:tc>
          <w:tcPr>
            <w:tcW w:w="0" w:type="auto"/>
            <w:vMerge w:val="continue"/>
            <w:tcBorders>
              <w:top w:val="nil"/>
              <w:left w:val="single" w:color="auto" w:sz="4" w:space="0"/>
              <w:bottom w:val="single" w:color="auto" w:sz="4" w:space="0"/>
              <w:right w:val="single" w:color="auto" w:sz="4" w:space="0"/>
            </w:tcBorders>
            <w:vAlign w:val="center"/>
          </w:tcPr>
          <w:p w14:paraId="1C5C7184">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771CEE8B">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配重</w:t>
            </w:r>
          </w:p>
        </w:tc>
        <w:tc>
          <w:tcPr>
            <w:tcW w:w="4385" w:type="dxa"/>
            <w:tcBorders>
              <w:top w:val="single" w:color="auto" w:sz="4" w:space="0"/>
              <w:left w:val="single" w:color="auto" w:sz="4" w:space="0"/>
              <w:bottom w:val="single" w:color="auto" w:sz="4" w:space="0"/>
              <w:right w:val="single" w:color="auto" w:sz="4" w:space="0"/>
            </w:tcBorders>
            <w:vAlign w:val="center"/>
          </w:tcPr>
          <w:p w14:paraId="25FD7FEA">
            <w:pPr>
              <w:numPr>
                <w:ilvl w:val="0"/>
                <w:numId w:val="33"/>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安装时与使用说明书不相符</w:t>
            </w:r>
          </w:p>
          <w:p w14:paraId="70167B4C">
            <w:pPr>
              <w:numPr>
                <w:ilvl w:val="0"/>
                <w:numId w:val="3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固定不可靠，位移或碰撞</w:t>
            </w:r>
          </w:p>
        </w:tc>
        <w:tc>
          <w:tcPr>
            <w:tcW w:w="1842" w:type="dxa"/>
            <w:tcBorders>
              <w:top w:val="single" w:color="auto" w:sz="4" w:space="0"/>
              <w:left w:val="single" w:color="auto" w:sz="4" w:space="0"/>
              <w:bottom w:val="single" w:color="auto" w:sz="4" w:space="0"/>
              <w:right w:val="single" w:color="auto" w:sz="4" w:space="0"/>
            </w:tcBorders>
            <w:vAlign w:val="center"/>
          </w:tcPr>
          <w:p w14:paraId="37B9A1C6">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坠落、摇晃</w:t>
            </w:r>
          </w:p>
        </w:tc>
        <w:tc>
          <w:tcPr>
            <w:tcW w:w="3544" w:type="dxa"/>
            <w:tcBorders>
              <w:top w:val="single" w:color="auto" w:sz="4" w:space="0"/>
              <w:left w:val="single" w:color="auto" w:sz="4" w:space="0"/>
              <w:bottom w:val="single" w:color="auto" w:sz="4" w:space="0"/>
              <w:right w:val="single" w:color="auto" w:sz="4" w:space="0"/>
            </w:tcBorders>
            <w:vAlign w:val="center"/>
          </w:tcPr>
          <w:p w14:paraId="4C4B20AF">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安装时按照使用说明书安装；将配重固定牢靠</w:t>
            </w:r>
          </w:p>
        </w:tc>
        <w:tc>
          <w:tcPr>
            <w:tcW w:w="425" w:type="dxa"/>
            <w:tcBorders>
              <w:top w:val="single" w:color="auto" w:sz="4" w:space="0"/>
              <w:left w:val="single" w:color="auto" w:sz="4" w:space="0"/>
              <w:bottom w:val="single" w:color="auto" w:sz="4" w:space="0"/>
              <w:right w:val="single" w:color="auto" w:sz="4" w:space="0"/>
            </w:tcBorders>
            <w:vAlign w:val="center"/>
          </w:tcPr>
          <w:p w14:paraId="77D4947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6" w:type="dxa"/>
            <w:tcBorders>
              <w:top w:val="single" w:color="auto" w:sz="4" w:space="0"/>
              <w:left w:val="single" w:color="auto" w:sz="4" w:space="0"/>
              <w:bottom w:val="single" w:color="auto" w:sz="4" w:space="0"/>
              <w:right w:val="single" w:color="auto" w:sz="4" w:space="0"/>
            </w:tcBorders>
            <w:vAlign w:val="center"/>
          </w:tcPr>
          <w:p w14:paraId="6F0842C8">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4" w:space="0"/>
              <w:right w:val="single" w:color="auto" w:sz="4" w:space="0"/>
            </w:tcBorders>
            <w:vAlign w:val="center"/>
          </w:tcPr>
          <w:p w14:paraId="4D614A66">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10</w:t>
            </w:r>
          </w:p>
        </w:tc>
        <w:tc>
          <w:tcPr>
            <w:tcW w:w="425" w:type="dxa"/>
            <w:tcBorders>
              <w:top w:val="single" w:color="auto" w:sz="4" w:space="0"/>
              <w:left w:val="single" w:color="auto" w:sz="4" w:space="0"/>
              <w:bottom w:val="single" w:color="auto" w:sz="4" w:space="0"/>
              <w:right w:val="single" w:color="auto" w:sz="4" w:space="0"/>
            </w:tcBorders>
            <w:vAlign w:val="center"/>
          </w:tcPr>
          <w:p w14:paraId="64F9D87A">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3FD77FC7">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3DD0EFE5">
            <w:pPr>
              <w:widowControl/>
              <w:jc w:val="center"/>
              <w:rPr>
                <w:rFonts w:ascii="宋体" w:hAnsi="宋体"/>
                <w:color w:val="000000" w:themeColor="text1"/>
                <w:kern w:val="0"/>
                <w:sz w:val="18"/>
                <w:szCs w:val="18"/>
              </w:rPr>
            </w:pPr>
          </w:p>
        </w:tc>
      </w:tr>
      <w:tr w14:paraId="7F76A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3" w:hRule="atLeast"/>
        </w:trPr>
        <w:tc>
          <w:tcPr>
            <w:tcW w:w="577" w:type="dxa"/>
            <w:tcBorders>
              <w:top w:val="single" w:color="auto" w:sz="4" w:space="0"/>
              <w:left w:val="single" w:color="auto" w:sz="8" w:space="0"/>
              <w:bottom w:val="single" w:color="auto" w:sz="4" w:space="0"/>
              <w:right w:val="single" w:color="auto" w:sz="4" w:space="0"/>
            </w:tcBorders>
            <w:vAlign w:val="center"/>
          </w:tcPr>
          <w:p w14:paraId="52CC25A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21</w:t>
            </w:r>
          </w:p>
        </w:tc>
        <w:tc>
          <w:tcPr>
            <w:tcW w:w="0" w:type="auto"/>
            <w:vMerge w:val="continue"/>
            <w:tcBorders>
              <w:top w:val="nil"/>
              <w:left w:val="single" w:color="auto" w:sz="4" w:space="0"/>
              <w:bottom w:val="nil"/>
              <w:right w:val="single" w:color="auto" w:sz="4" w:space="0"/>
            </w:tcBorders>
            <w:vAlign w:val="center"/>
          </w:tcPr>
          <w:p w14:paraId="760ED8F2">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8F055FE">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基础</w:t>
            </w:r>
          </w:p>
        </w:tc>
        <w:tc>
          <w:tcPr>
            <w:tcW w:w="4385" w:type="dxa"/>
            <w:tcBorders>
              <w:top w:val="single" w:color="auto" w:sz="4" w:space="0"/>
              <w:left w:val="single" w:color="auto" w:sz="4" w:space="0"/>
              <w:bottom w:val="single" w:color="auto" w:sz="4" w:space="0"/>
              <w:right w:val="single" w:color="auto" w:sz="4" w:space="0"/>
            </w:tcBorders>
            <w:vAlign w:val="center"/>
          </w:tcPr>
          <w:p w14:paraId="329B42EC">
            <w:pPr>
              <w:pStyle w:val="236"/>
              <w:numPr>
                <w:ilvl w:val="0"/>
                <w:numId w:val="34"/>
              </w:numPr>
              <w:spacing w:before="6" w:beforeAutospacing="0"/>
              <w:ind w:left="27" w:right="118"/>
              <w:rPr>
                <w:rFonts w:hint="eastAsia" w:cs="Times New Roman"/>
                <w:color w:val="000000" w:themeColor="text1"/>
                <w:sz w:val="18"/>
                <w:szCs w:val="18"/>
                <w:lang w:val="en-US" w:eastAsia="zh-CN"/>
              </w:rPr>
            </w:pPr>
            <w:r>
              <w:rPr>
                <w:rFonts w:hint="eastAsia" w:cs="Times New Roman"/>
                <w:color w:val="000000" w:themeColor="text1"/>
                <w:sz w:val="18"/>
                <w:szCs w:val="18"/>
                <w:lang w:val="en-US" w:eastAsia="zh-CN"/>
              </w:rPr>
              <w:t>基础积水</w:t>
            </w:r>
          </w:p>
          <w:p w14:paraId="0330C5BB">
            <w:pPr>
              <w:pStyle w:val="236"/>
              <w:numPr>
                <w:ilvl w:val="0"/>
                <w:numId w:val="34"/>
              </w:numPr>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基础底架、塔身撑杆固定螺栓松动</w:t>
            </w:r>
          </w:p>
        </w:tc>
        <w:tc>
          <w:tcPr>
            <w:tcW w:w="1842" w:type="dxa"/>
            <w:tcBorders>
              <w:top w:val="single" w:color="auto" w:sz="4" w:space="0"/>
              <w:left w:val="single" w:color="auto" w:sz="4" w:space="0"/>
              <w:bottom w:val="single" w:color="auto" w:sz="4" w:space="0"/>
              <w:right w:val="single" w:color="auto" w:sz="4" w:space="0"/>
            </w:tcBorders>
            <w:vAlign w:val="center"/>
          </w:tcPr>
          <w:p w14:paraId="6BAB0C62">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坠落、摇晃</w:t>
            </w:r>
          </w:p>
        </w:tc>
        <w:tc>
          <w:tcPr>
            <w:tcW w:w="3544" w:type="dxa"/>
            <w:tcBorders>
              <w:top w:val="single" w:color="auto" w:sz="4" w:space="0"/>
              <w:left w:val="single" w:color="auto" w:sz="4" w:space="0"/>
              <w:bottom w:val="single" w:color="auto" w:sz="4" w:space="0"/>
              <w:right w:val="single" w:color="auto" w:sz="4" w:space="0"/>
            </w:tcBorders>
            <w:vAlign w:val="center"/>
          </w:tcPr>
          <w:p w14:paraId="0FE97B9A">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基础在施工时应预留相应排水位置，每天检查并及时排水；每天检查固定螺栓松动情况并及时紧固</w:t>
            </w:r>
          </w:p>
        </w:tc>
        <w:tc>
          <w:tcPr>
            <w:tcW w:w="425" w:type="dxa"/>
            <w:tcBorders>
              <w:top w:val="single" w:color="auto" w:sz="4" w:space="0"/>
              <w:left w:val="single" w:color="auto" w:sz="4" w:space="0"/>
              <w:bottom w:val="single" w:color="auto" w:sz="4" w:space="0"/>
              <w:right w:val="single" w:color="auto" w:sz="4" w:space="0"/>
            </w:tcBorders>
            <w:vAlign w:val="center"/>
          </w:tcPr>
          <w:p w14:paraId="3AE7A7E8">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31C59E98">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14:paraId="3B688408">
            <w:pPr>
              <w:jc w:val="center"/>
              <w:rPr>
                <w:rFonts w:ascii="宋体" w:hAnsi="宋体"/>
                <w:color w:val="000000" w:themeColor="text1"/>
                <w:sz w:val="18"/>
                <w:szCs w:val="18"/>
              </w:rPr>
            </w:pPr>
            <w:r>
              <w:rPr>
                <w:rFonts w:ascii="宋体" w:hAnsi="宋体"/>
                <w:color w:val="000000" w:themeColor="text1"/>
                <w:sz w:val="18"/>
                <w:szCs w:val="18"/>
              </w:rPr>
              <w:t>8</w:t>
            </w:r>
          </w:p>
        </w:tc>
        <w:tc>
          <w:tcPr>
            <w:tcW w:w="425" w:type="dxa"/>
            <w:tcBorders>
              <w:top w:val="single" w:color="auto" w:sz="4" w:space="0"/>
              <w:left w:val="single" w:color="auto" w:sz="4" w:space="0"/>
              <w:bottom w:val="single" w:color="auto" w:sz="4" w:space="0"/>
              <w:right w:val="single" w:color="auto" w:sz="4" w:space="0"/>
            </w:tcBorders>
            <w:vAlign w:val="center"/>
          </w:tcPr>
          <w:p w14:paraId="11088880">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1DE0279">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1910078D">
            <w:pPr>
              <w:widowControl/>
              <w:jc w:val="center"/>
              <w:rPr>
                <w:rFonts w:ascii="宋体" w:hAnsi="宋体"/>
                <w:color w:val="000000" w:themeColor="text1"/>
                <w:kern w:val="0"/>
                <w:sz w:val="18"/>
                <w:szCs w:val="18"/>
              </w:rPr>
            </w:pPr>
          </w:p>
        </w:tc>
      </w:tr>
      <w:tr w14:paraId="31B574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81" w:hRule="atLeast"/>
        </w:trPr>
        <w:tc>
          <w:tcPr>
            <w:tcW w:w="577" w:type="dxa"/>
            <w:tcBorders>
              <w:top w:val="single" w:color="auto" w:sz="4" w:space="0"/>
              <w:left w:val="single" w:color="auto" w:sz="8" w:space="0"/>
              <w:bottom w:val="single" w:color="auto" w:sz="4" w:space="0"/>
              <w:right w:val="single" w:color="auto" w:sz="4" w:space="0"/>
            </w:tcBorders>
            <w:vAlign w:val="center"/>
          </w:tcPr>
          <w:p w14:paraId="3B5AA4DB">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22</w:t>
            </w:r>
          </w:p>
        </w:tc>
        <w:tc>
          <w:tcPr>
            <w:tcW w:w="0" w:type="auto"/>
            <w:tcBorders>
              <w:top w:val="nil"/>
              <w:left w:val="single" w:color="auto" w:sz="4" w:space="0"/>
              <w:bottom w:val="nil"/>
              <w:right w:val="single" w:color="auto" w:sz="4" w:space="0"/>
            </w:tcBorders>
            <w:vAlign w:val="center"/>
          </w:tcPr>
          <w:p w14:paraId="6765288D">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2DF2F0CF">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塔身组成</w:t>
            </w:r>
          </w:p>
        </w:tc>
        <w:tc>
          <w:tcPr>
            <w:tcW w:w="4385" w:type="dxa"/>
            <w:tcBorders>
              <w:top w:val="single" w:color="auto" w:sz="4" w:space="0"/>
              <w:left w:val="single" w:color="auto" w:sz="4" w:space="0"/>
              <w:bottom w:val="single" w:color="auto" w:sz="4" w:space="0"/>
              <w:right w:val="single" w:color="auto" w:sz="4" w:space="0"/>
            </w:tcBorders>
            <w:vAlign w:val="center"/>
          </w:tcPr>
          <w:p w14:paraId="0EC97E7A">
            <w:pPr>
              <w:pStyle w:val="236"/>
              <w:numPr>
                <w:ilvl w:val="0"/>
                <w:numId w:val="35"/>
              </w:numPr>
              <w:spacing w:before="6" w:beforeAutospacing="0"/>
              <w:ind w:left="27" w:right="118"/>
              <w:rPr>
                <w:rFonts w:hint="eastAsia" w:cs="Times New Roman"/>
                <w:color w:val="000000" w:themeColor="text1"/>
                <w:sz w:val="18"/>
                <w:szCs w:val="18"/>
                <w:lang w:val="en-US" w:eastAsia="zh-CN"/>
              </w:rPr>
            </w:pPr>
            <w:r>
              <w:rPr>
                <w:rFonts w:hint="eastAsia" w:cs="Times New Roman"/>
                <w:color w:val="000000" w:themeColor="text1"/>
                <w:sz w:val="18"/>
                <w:szCs w:val="18"/>
                <w:lang w:val="en-US" w:eastAsia="zh-CN"/>
              </w:rPr>
              <w:t>标准节连接螺栓松动</w:t>
            </w:r>
          </w:p>
          <w:p w14:paraId="006C405F">
            <w:pPr>
              <w:pStyle w:val="236"/>
              <w:numPr>
                <w:ilvl w:val="0"/>
                <w:numId w:val="35"/>
              </w:numPr>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螺栓连接预紧力不足</w:t>
            </w:r>
          </w:p>
          <w:p w14:paraId="02C270D7">
            <w:pPr>
              <w:pStyle w:val="236"/>
              <w:numPr>
                <w:ilvl w:val="0"/>
                <w:numId w:val="35"/>
              </w:numPr>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塔身节金属结构杆塑性变形</w:t>
            </w:r>
          </w:p>
          <w:p w14:paraId="11DB9D48">
            <w:pPr>
              <w:pStyle w:val="236"/>
              <w:numPr>
                <w:ilvl w:val="0"/>
                <w:numId w:val="35"/>
              </w:numPr>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塔身金属结构焊缝有无可见裂纹</w:t>
            </w:r>
          </w:p>
        </w:tc>
        <w:tc>
          <w:tcPr>
            <w:tcW w:w="1842" w:type="dxa"/>
            <w:tcBorders>
              <w:top w:val="single" w:color="auto" w:sz="4" w:space="0"/>
              <w:left w:val="single" w:color="auto" w:sz="4" w:space="0"/>
              <w:bottom w:val="single" w:color="auto" w:sz="4" w:space="0"/>
              <w:right w:val="single" w:color="auto" w:sz="4" w:space="0"/>
            </w:tcBorders>
            <w:vAlign w:val="center"/>
          </w:tcPr>
          <w:p w14:paraId="60724ACA">
            <w:pPr>
              <w:rPr>
                <w:rFonts w:hint="default" w:ascii="宋体" w:hAnsi="宋体"/>
                <w:color w:val="000000" w:themeColor="text1"/>
                <w:sz w:val="18"/>
                <w:szCs w:val="18"/>
                <w:lang w:val="en-US"/>
              </w:rPr>
            </w:pPr>
            <w:r>
              <w:rPr>
                <w:rFonts w:hint="eastAsia" w:ascii="宋体" w:hAnsi="宋体"/>
                <w:color w:val="000000" w:themeColor="text1"/>
                <w:sz w:val="18"/>
                <w:szCs w:val="18"/>
                <w:lang w:val="en-US" w:eastAsia="zh-CN"/>
              </w:rPr>
              <w:t>坠落、摇晃、倾倒</w:t>
            </w:r>
          </w:p>
        </w:tc>
        <w:tc>
          <w:tcPr>
            <w:tcW w:w="3544" w:type="dxa"/>
            <w:tcBorders>
              <w:top w:val="single" w:color="auto" w:sz="4" w:space="0"/>
              <w:left w:val="single" w:color="auto" w:sz="4" w:space="0"/>
              <w:bottom w:val="single" w:color="auto" w:sz="4" w:space="0"/>
              <w:right w:val="single" w:color="auto" w:sz="4" w:space="0"/>
            </w:tcBorders>
            <w:vAlign w:val="center"/>
          </w:tcPr>
          <w:p w14:paraId="23FB6936">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每天检查连接螺栓是否松动，定期检查螺栓连接预紧力情况，检查塔身节有无塑性变形并及时更换，采用20倍放大镜或表面探伤确认焊缝完好</w:t>
            </w:r>
          </w:p>
        </w:tc>
        <w:tc>
          <w:tcPr>
            <w:tcW w:w="425" w:type="dxa"/>
            <w:tcBorders>
              <w:top w:val="single" w:color="auto" w:sz="4" w:space="0"/>
              <w:left w:val="single" w:color="auto" w:sz="4" w:space="0"/>
              <w:bottom w:val="single" w:color="auto" w:sz="4" w:space="0"/>
              <w:right w:val="single" w:color="auto" w:sz="4" w:space="0"/>
            </w:tcBorders>
            <w:vAlign w:val="center"/>
          </w:tcPr>
          <w:p w14:paraId="2236A6B9">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tcBorders>
              <w:top w:val="single" w:color="auto" w:sz="4" w:space="0"/>
              <w:left w:val="single" w:color="auto" w:sz="4" w:space="0"/>
              <w:bottom w:val="single" w:color="auto" w:sz="4" w:space="0"/>
              <w:right w:val="single" w:color="auto" w:sz="4" w:space="0"/>
            </w:tcBorders>
            <w:vAlign w:val="center"/>
          </w:tcPr>
          <w:p w14:paraId="12227A3D">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4" w:space="0"/>
              <w:right w:val="single" w:color="auto" w:sz="4" w:space="0"/>
            </w:tcBorders>
            <w:vAlign w:val="center"/>
          </w:tcPr>
          <w:p w14:paraId="5F473929">
            <w:pPr>
              <w:jc w:val="center"/>
              <w:rPr>
                <w:rFonts w:hint="eastAsia" w:ascii="宋体" w:hAnsi="宋体" w:eastAsia="宋体"/>
                <w:color w:val="000000" w:themeColor="text1"/>
                <w:sz w:val="18"/>
                <w:szCs w:val="18"/>
                <w:lang w:eastAsia="zh-CN"/>
              </w:rPr>
            </w:pPr>
            <w:r>
              <w:rPr>
                <w:rFonts w:ascii="宋体" w:hAnsi="宋体"/>
                <w:color w:val="000000" w:themeColor="text1"/>
                <w:sz w:val="18"/>
                <w:szCs w:val="18"/>
              </w:rPr>
              <w:t>1</w:t>
            </w: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4" w:space="0"/>
              <w:right w:val="single" w:color="auto" w:sz="4" w:space="0"/>
            </w:tcBorders>
            <w:vAlign w:val="center"/>
          </w:tcPr>
          <w:p w14:paraId="5F35EF73">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2D2BA8E">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橙</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50E296F6">
            <w:pPr>
              <w:widowControl/>
              <w:jc w:val="center"/>
              <w:rPr>
                <w:rFonts w:ascii="宋体" w:hAnsi="宋体"/>
                <w:color w:val="000000" w:themeColor="text1"/>
                <w:kern w:val="0"/>
                <w:sz w:val="18"/>
                <w:szCs w:val="18"/>
              </w:rPr>
            </w:pPr>
          </w:p>
        </w:tc>
      </w:tr>
      <w:tr w14:paraId="6CC8E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81" w:hRule="atLeast"/>
        </w:trPr>
        <w:tc>
          <w:tcPr>
            <w:tcW w:w="577" w:type="dxa"/>
            <w:tcBorders>
              <w:top w:val="single" w:color="auto" w:sz="4" w:space="0"/>
              <w:left w:val="single" w:color="auto" w:sz="8" w:space="0"/>
              <w:bottom w:val="single" w:color="auto" w:sz="4" w:space="0"/>
              <w:right w:val="single" w:color="auto" w:sz="4" w:space="0"/>
            </w:tcBorders>
            <w:vAlign w:val="center"/>
          </w:tcPr>
          <w:p w14:paraId="566AE562">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23</w:t>
            </w:r>
          </w:p>
        </w:tc>
        <w:tc>
          <w:tcPr>
            <w:tcW w:w="0" w:type="auto"/>
            <w:tcBorders>
              <w:top w:val="nil"/>
              <w:left w:val="single" w:color="auto" w:sz="4" w:space="0"/>
              <w:bottom w:val="nil"/>
              <w:right w:val="single" w:color="auto" w:sz="4" w:space="0"/>
            </w:tcBorders>
            <w:vAlign w:val="center"/>
          </w:tcPr>
          <w:p w14:paraId="6063C008">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2B21726C">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垂直度</w:t>
            </w:r>
          </w:p>
        </w:tc>
        <w:tc>
          <w:tcPr>
            <w:tcW w:w="4385" w:type="dxa"/>
            <w:tcBorders>
              <w:top w:val="single" w:color="auto" w:sz="4" w:space="0"/>
              <w:left w:val="single" w:color="auto" w:sz="4" w:space="0"/>
              <w:bottom w:val="single" w:color="auto" w:sz="4" w:space="0"/>
              <w:right w:val="single" w:color="auto" w:sz="4" w:space="0"/>
            </w:tcBorders>
            <w:vAlign w:val="center"/>
          </w:tcPr>
          <w:p w14:paraId="40F883DA">
            <w:pPr>
              <w:pStyle w:val="236"/>
              <w:numPr>
                <w:ilvl w:val="0"/>
                <w:numId w:val="0"/>
              </w:numPr>
              <w:spacing w:before="6" w:beforeAutospacing="0"/>
              <w:ind w:right="118" w:rightChars="0"/>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塔身侧向垂直度超标</w:t>
            </w:r>
          </w:p>
        </w:tc>
        <w:tc>
          <w:tcPr>
            <w:tcW w:w="1842" w:type="dxa"/>
            <w:tcBorders>
              <w:top w:val="single" w:color="auto" w:sz="4" w:space="0"/>
              <w:left w:val="single" w:color="auto" w:sz="4" w:space="0"/>
              <w:bottom w:val="single" w:color="auto" w:sz="4" w:space="0"/>
              <w:right w:val="single" w:color="auto" w:sz="4" w:space="0"/>
            </w:tcBorders>
            <w:vAlign w:val="center"/>
          </w:tcPr>
          <w:p w14:paraId="3E3216AA">
            <w:p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坠落、倾倒</w:t>
            </w:r>
          </w:p>
        </w:tc>
        <w:tc>
          <w:tcPr>
            <w:tcW w:w="3544" w:type="dxa"/>
            <w:tcBorders>
              <w:top w:val="single" w:color="auto" w:sz="4" w:space="0"/>
              <w:left w:val="single" w:color="auto" w:sz="4" w:space="0"/>
              <w:bottom w:val="single" w:color="auto" w:sz="4" w:space="0"/>
              <w:right w:val="single" w:color="auto" w:sz="4" w:space="0"/>
            </w:tcBorders>
            <w:vAlign w:val="center"/>
          </w:tcPr>
          <w:p w14:paraId="448270B3">
            <w:p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基础在建设时应保证水平，安装时应调整塔身垂直度符合要求，定期检测塔身垂直度变化并及时调整</w:t>
            </w:r>
          </w:p>
        </w:tc>
        <w:tc>
          <w:tcPr>
            <w:tcW w:w="425" w:type="dxa"/>
            <w:tcBorders>
              <w:top w:val="single" w:color="auto" w:sz="4" w:space="0"/>
              <w:left w:val="single" w:color="auto" w:sz="4" w:space="0"/>
              <w:bottom w:val="single" w:color="auto" w:sz="4" w:space="0"/>
              <w:right w:val="single" w:color="auto" w:sz="4" w:space="0"/>
            </w:tcBorders>
            <w:vAlign w:val="center"/>
          </w:tcPr>
          <w:p w14:paraId="081CD180">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4" w:space="0"/>
              <w:left w:val="single" w:color="auto" w:sz="4" w:space="0"/>
              <w:bottom w:val="single" w:color="auto" w:sz="4" w:space="0"/>
              <w:right w:val="single" w:color="auto" w:sz="4" w:space="0"/>
            </w:tcBorders>
            <w:vAlign w:val="center"/>
          </w:tcPr>
          <w:p w14:paraId="054AADE0">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4" w:space="0"/>
              <w:right w:val="single" w:color="auto" w:sz="4" w:space="0"/>
            </w:tcBorders>
            <w:vAlign w:val="center"/>
          </w:tcPr>
          <w:p w14:paraId="25D72A2A">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15</w:t>
            </w:r>
          </w:p>
        </w:tc>
        <w:tc>
          <w:tcPr>
            <w:tcW w:w="425" w:type="dxa"/>
            <w:tcBorders>
              <w:top w:val="single" w:color="auto" w:sz="4" w:space="0"/>
              <w:left w:val="single" w:color="auto" w:sz="4" w:space="0"/>
              <w:bottom w:val="single" w:color="auto" w:sz="4" w:space="0"/>
              <w:right w:val="single" w:color="auto" w:sz="4" w:space="0"/>
            </w:tcBorders>
            <w:vAlign w:val="center"/>
          </w:tcPr>
          <w:p w14:paraId="1EB427A7">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2</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D8086D8">
            <w:pPr>
              <w:jc w:val="center"/>
              <w:rPr>
                <w:rFonts w:hint="eastAsia" w:ascii="宋体" w:hAnsi="宋体"/>
                <w:color w:val="000000" w:themeColor="text1"/>
                <w:sz w:val="18"/>
                <w:szCs w:val="18"/>
              </w:rPr>
            </w:pPr>
            <w:r>
              <w:rPr>
                <w:rFonts w:hint="eastAsia" w:ascii="宋体" w:hAnsi="宋体"/>
                <w:color w:val="000000" w:themeColor="text1"/>
                <w:sz w:val="18"/>
                <w:szCs w:val="18"/>
                <w:lang w:val="en-US" w:eastAsia="zh-CN"/>
              </w:rPr>
              <w:t>橙</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2884F739">
            <w:pPr>
              <w:widowControl/>
              <w:jc w:val="center"/>
              <w:rPr>
                <w:rFonts w:ascii="宋体" w:hAnsi="宋体"/>
                <w:color w:val="000000" w:themeColor="text1"/>
                <w:kern w:val="0"/>
                <w:sz w:val="18"/>
                <w:szCs w:val="18"/>
              </w:rPr>
            </w:pPr>
          </w:p>
        </w:tc>
      </w:tr>
      <w:tr w14:paraId="034313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81" w:hRule="atLeast"/>
        </w:trPr>
        <w:tc>
          <w:tcPr>
            <w:tcW w:w="577" w:type="dxa"/>
            <w:tcBorders>
              <w:top w:val="single" w:color="auto" w:sz="4" w:space="0"/>
              <w:left w:val="single" w:color="auto" w:sz="8" w:space="0"/>
              <w:bottom w:val="single" w:color="auto" w:sz="8" w:space="0"/>
              <w:right w:val="single" w:color="auto" w:sz="4" w:space="0"/>
            </w:tcBorders>
            <w:vAlign w:val="center"/>
          </w:tcPr>
          <w:p w14:paraId="61934BB8">
            <w:pPr>
              <w:widowControl/>
              <w:jc w:val="center"/>
              <w:rPr>
                <w:rFonts w:hint="default" w:ascii="宋体" w:hAnsi="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24</w:t>
            </w:r>
          </w:p>
        </w:tc>
        <w:tc>
          <w:tcPr>
            <w:tcW w:w="0" w:type="auto"/>
            <w:tcBorders>
              <w:top w:val="nil"/>
              <w:left w:val="single" w:color="auto" w:sz="4" w:space="0"/>
              <w:bottom w:val="single" w:color="auto" w:sz="4" w:space="0"/>
              <w:right w:val="single" w:color="auto" w:sz="4" w:space="0"/>
            </w:tcBorders>
            <w:vAlign w:val="center"/>
          </w:tcPr>
          <w:p w14:paraId="241903D1">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2F24F462">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连接销轴</w:t>
            </w:r>
          </w:p>
        </w:tc>
        <w:tc>
          <w:tcPr>
            <w:tcW w:w="4385" w:type="dxa"/>
            <w:tcBorders>
              <w:top w:val="single" w:color="auto" w:sz="4" w:space="0"/>
              <w:left w:val="single" w:color="auto" w:sz="4" w:space="0"/>
              <w:bottom w:val="single" w:color="auto" w:sz="8" w:space="0"/>
              <w:right w:val="single" w:color="auto" w:sz="4" w:space="0"/>
            </w:tcBorders>
            <w:vAlign w:val="center"/>
          </w:tcPr>
          <w:p w14:paraId="7622E5B8">
            <w:pPr>
              <w:pStyle w:val="236"/>
              <w:numPr>
                <w:ilvl w:val="0"/>
                <w:numId w:val="36"/>
              </w:numPr>
              <w:spacing w:before="6" w:beforeAutospacing="0"/>
              <w:ind w:right="118" w:rightChars="0"/>
              <w:rPr>
                <w:rFonts w:hint="eastAsia" w:cs="Times New Roman"/>
                <w:color w:val="000000" w:themeColor="text1"/>
                <w:sz w:val="18"/>
                <w:szCs w:val="18"/>
                <w:lang w:val="en-US" w:eastAsia="zh-CN"/>
              </w:rPr>
            </w:pPr>
            <w:r>
              <w:rPr>
                <w:rFonts w:hint="eastAsia" w:cs="Times New Roman"/>
                <w:color w:val="000000" w:themeColor="text1"/>
                <w:sz w:val="18"/>
                <w:szCs w:val="18"/>
                <w:lang w:val="en-US" w:eastAsia="zh-CN"/>
              </w:rPr>
              <w:t>销轴未按照说明书要求锁定</w:t>
            </w:r>
          </w:p>
          <w:p w14:paraId="1E5061B7">
            <w:pPr>
              <w:pStyle w:val="236"/>
              <w:numPr>
                <w:ilvl w:val="0"/>
                <w:numId w:val="36"/>
              </w:numPr>
              <w:spacing w:before="6" w:beforeAutospacing="0"/>
              <w:ind w:right="118" w:rightChars="0"/>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开口销定位时开口销是否按规定张开</w:t>
            </w:r>
          </w:p>
        </w:tc>
        <w:tc>
          <w:tcPr>
            <w:tcW w:w="1842" w:type="dxa"/>
            <w:tcBorders>
              <w:top w:val="single" w:color="auto" w:sz="4" w:space="0"/>
              <w:left w:val="single" w:color="auto" w:sz="4" w:space="0"/>
              <w:bottom w:val="single" w:color="auto" w:sz="8" w:space="0"/>
              <w:right w:val="single" w:color="auto" w:sz="4" w:space="0"/>
            </w:tcBorders>
            <w:vAlign w:val="center"/>
          </w:tcPr>
          <w:p w14:paraId="30FC06A7">
            <w:p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坠落、倾倒</w:t>
            </w:r>
          </w:p>
        </w:tc>
        <w:tc>
          <w:tcPr>
            <w:tcW w:w="3544" w:type="dxa"/>
            <w:tcBorders>
              <w:top w:val="single" w:color="auto" w:sz="4" w:space="0"/>
              <w:left w:val="single" w:color="auto" w:sz="4" w:space="0"/>
              <w:bottom w:val="single" w:color="auto" w:sz="8" w:space="0"/>
              <w:right w:val="single" w:color="auto" w:sz="4" w:space="0"/>
            </w:tcBorders>
            <w:vAlign w:val="center"/>
          </w:tcPr>
          <w:p w14:paraId="4F9EF8CE">
            <w:p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安装时每个销轴都按照说明书要求锁定，开口销定位时按要求张开</w:t>
            </w:r>
          </w:p>
        </w:tc>
        <w:tc>
          <w:tcPr>
            <w:tcW w:w="425" w:type="dxa"/>
            <w:tcBorders>
              <w:top w:val="single" w:color="auto" w:sz="4" w:space="0"/>
              <w:left w:val="single" w:color="auto" w:sz="4" w:space="0"/>
              <w:bottom w:val="single" w:color="auto" w:sz="8" w:space="0"/>
              <w:right w:val="single" w:color="auto" w:sz="4" w:space="0"/>
            </w:tcBorders>
            <w:vAlign w:val="center"/>
          </w:tcPr>
          <w:p w14:paraId="7533171D">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4" w:space="0"/>
              <w:left w:val="single" w:color="auto" w:sz="4" w:space="0"/>
              <w:bottom w:val="single" w:color="auto" w:sz="8" w:space="0"/>
              <w:right w:val="single" w:color="auto" w:sz="4" w:space="0"/>
            </w:tcBorders>
            <w:vAlign w:val="center"/>
          </w:tcPr>
          <w:p w14:paraId="5AA76E0D">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8" w:space="0"/>
              <w:right w:val="single" w:color="auto" w:sz="4" w:space="0"/>
            </w:tcBorders>
            <w:vAlign w:val="center"/>
          </w:tcPr>
          <w:p w14:paraId="58C3006D">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15</w:t>
            </w:r>
          </w:p>
        </w:tc>
        <w:tc>
          <w:tcPr>
            <w:tcW w:w="425" w:type="dxa"/>
            <w:tcBorders>
              <w:top w:val="single" w:color="auto" w:sz="4" w:space="0"/>
              <w:left w:val="single" w:color="auto" w:sz="4" w:space="0"/>
              <w:bottom w:val="single" w:color="auto" w:sz="8" w:space="0"/>
              <w:right w:val="single" w:color="auto" w:sz="4" w:space="0"/>
            </w:tcBorders>
            <w:vAlign w:val="center"/>
          </w:tcPr>
          <w:p w14:paraId="2164C33C">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2</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8C5C5F2">
            <w:pPr>
              <w:jc w:val="center"/>
              <w:rPr>
                <w:rFonts w:hint="eastAsia" w:ascii="宋体" w:hAnsi="宋体"/>
                <w:color w:val="000000" w:themeColor="text1"/>
                <w:sz w:val="18"/>
                <w:szCs w:val="18"/>
              </w:rPr>
            </w:pPr>
            <w:r>
              <w:rPr>
                <w:rFonts w:hint="eastAsia" w:ascii="宋体" w:hAnsi="宋体"/>
                <w:color w:val="000000" w:themeColor="text1"/>
                <w:sz w:val="18"/>
                <w:szCs w:val="18"/>
                <w:lang w:val="en-US" w:eastAsia="zh-CN"/>
              </w:rPr>
              <w:t>橙</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5C334018">
            <w:pPr>
              <w:widowControl/>
              <w:jc w:val="center"/>
              <w:rPr>
                <w:rFonts w:ascii="宋体" w:hAnsi="宋体"/>
                <w:color w:val="000000" w:themeColor="text1"/>
                <w:kern w:val="0"/>
                <w:sz w:val="18"/>
                <w:szCs w:val="18"/>
              </w:rPr>
            </w:pPr>
          </w:p>
        </w:tc>
      </w:tr>
    </w:tbl>
    <w:p w14:paraId="74789865">
      <w:pPr>
        <w:pStyle w:val="58"/>
        <w:ind w:firstLine="42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20715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0C9412B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21883B2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4FE14FE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7E3E3E0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0F656A3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5FA0D88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2BFE59B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0452432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64A82E1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396D1C2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05B63CA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128DA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19" w:hRule="atLeast"/>
        </w:trPr>
        <w:tc>
          <w:tcPr>
            <w:tcW w:w="577" w:type="dxa"/>
            <w:tcBorders>
              <w:top w:val="single" w:color="auto" w:sz="8" w:space="0"/>
              <w:left w:val="single" w:color="auto" w:sz="8" w:space="0"/>
              <w:bottom w:val="single" w:color="auto" w:sz="4" w:space="0"/>
              <w:right w:val="single" w:color="auto" w:sz="4" w:space="0"/>
            </w:tcBorders>
            <w:vAlign w:val="center"/>
          </w:tcPr>
          <w:p w14:paraId="73E63C16">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2</w:t>
            </w:r>
            <w:r>
              <w:rPr>
                <w:rFonts w:hint="eastAsia" w:ascii="宋体" w:hAnsi="宋体"/>
                <w:color w:val="000000" w:themeColor="text1"/>
                <w:kern w:val="0"/>
                <w:sz w:val="18"/>
                <w:szCs w:val="18"/>
                <w:lang w:val="en-US" w:eastAsia="zh-CN"/>
              </w:rPr>
              <w:t>5</w:t>
            </w:r>
          </w:p>
        </w:tc>
        <w:tc>
          <w:tcPr>
            <w:tcW w:w="567" w:type="dxa"/>
            <w:vMerge w:val="restart"/>
            <w:tcBorders>
              <w:top w:val="nil"/>
              <w:left w:val="single" w:color="auto" w:sz="4" w:space="0"/>
              <w:bottom w:val="single" w:color="auto" w:sz="4" w:space="0"/>
              <w:right w:val="single" w:color="auto" w:sz="4" w:space="0"/>
            </w:tcBorders>
            <w:vAlign w:val="center"/>
          </w:tcPr>
          <w:p w14:paraId="08BCBD37">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530CF7EE">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193FD0E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底架</w:t>
            </w:r>
          </w:p>
        </w:tc>
        <w:tc>
          <w:tcPr>
            <w:tcW w:w="4385" w:type="dxa"/>
            <w:tcBorders>
              <w:top w:val="single" w:color="auto" w:sz="8" w:space="0"/>
              <w:left w:val="single" w:color="auto" w:sz="4" w:space="0"/>
              <w:bottom w:val="single" w:color="auto" w:sz="4" w:space="0"/>
              <w:right w:val="single" w:color="auto" w:sz="4" w:space="0"/>
            </w:tcBorders>
            <w:vAlign w:val="center"/>
          </w:tcPr>
          <w:p w14:paraId="34E6A097">
            <w:pPr>
              <w:numPr>
                <w:ilvl w:val="0"/>
                <w:numId w:val="37"/>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底架塑性变形</w:t>
            </w:r>
          </w:p>
          <w:p w14:paraId="7E3BF05E">
            <w:pPr>
              <w:numPr>
                <w:ilvl w:val="0"/>
                <w:numId w:val="37"/>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焊缝有无可见裂纹</w:t>
            </w:r>
          </w:p>
        </w:tc>
        <w:tc>
          <w:tcPr>
            <w:tcW w:w="1842" w:type="dxa"/>
            <w:tcBorders>
              <w:top w:val="single" w:color="auto" w:sz="8" w:space="0"/>
              <w:left w:val="single" w:color="auto" w:sz="4" w:space="0"/>
              <w:bottom w:val="single" w:color="auto" w:sz="4" w:space="0"/>
              <w:right w:val="single" w:color="auto" w:sz="4" w:space="0"/>
            </w:tcBorders>
            <w:vAlign w:val="center"/>
          </w:tcPr>
          <w:p w14:paraId="600119F0">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坠落、晃动、倾倒</w:t>
            </w:r>
          </w:p>
        </w:tc>
        <w:tc>
          <w:tcPr>
            <w:tcW w:w="3544" w:type="dxa"/>
            <w:tcBorders>
              <w:top w:val="single" w:color="auto" w:sz="8" w:space="0"/>
              <w:left w:val="single" w:color="auto" w:sz="4" w:space="0"/>
              <w:bottom w:val="single" w:color="auto" w:sz="4" w:space="0"/>
              <w:right w:val="single" w:color="auto" w:sz="4" w:space="0"/>
            </w:tcBorders>
            <w:vAlign w:val="center"/>
          </w:tcPr>
          <w:p w14:paraId="043F087B">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安装时保证底架金属结构完好无塑性变形，采用20倍放大镜或表面探伤确认焊缝完好</w:t>
            </w:r>
          </w:p>
        </w:tc>
        <w:tc>
          <w:tcPr>
            <w:tcW w:w="425" w:type="dxa"/>
            <w:tcBorders>
              <w:top w:val="single" w:color="auto" w:sz="8" w:space="0"/>
              <w:left w:val="single" w:color="auto" w:sz="4" w:space="0"/>
              <w:bottom w:val="single" w:color="auto" w:sz="4" w:space="0"/>
              <w:right w:val="single" w:color="auto" w:sz="4" w:space="0"/>
            </w:tcBorders>
            <w:vAlign w:val="center"/>
          </w:tcPr>
          <w:p w14:paraId="1558E8BB">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tcBorders>
              <w:top w:val="single" w:color="auto" w:sz="8" w:space="0"/>
              <w:left w:val="single" w:color="auto" w:sz="4" w:space="0"/>
              <w:bottom w:val="single" w:color="auto" w:sz="4" w:space="0"/>
              <w:right w:val="single" w:color="auto" w:sz="4" w:space="0"/>
            </w:tcBorders>
            <w:vAlign w:val="center"/>
          </w:tcPr>
          <w:p w14:paraId="39B05D0E">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vAlign w:val="center"/>
          </w:tcPr>
          <w:p w14:paraId="4317AF3D">
            <w:pPr>
              <w:jc w:val="center"/>
              <w:rPr>
                <w:rFonts w:ascii="宋体" w:hAnsi="宋体"/>
                <w:color w:val="000000" w:themeColor="text1"/>
                <w:sz w:val="18"/>
                <w:szCs w:val="18"/>
              </w:rPr>
            </w:pPr>
            <w:r>
              <w:rPr>
                <w:rFonts w:ascii="宋体" w:hAnsi="宋体"/>
                <w:color w:val="000000" w:themeColor="text1"/>
                <w:sz w:val="18"/>
                <w:szCs w:val="18"/>
              </w:rPr>
              <w:t>9</w:t>
            </w:r>
          </w:p>
        </w:tc>
        <w:tc>
          <w:tcPr>
            <w:tcW w:w="425" w:type="dxa"/>
            <w:tcBorders>
              <w:top w:val="single" w:color="auto" w:sz="8" w:space="0"/>
              <w:left w:val="single" w:color="auto" w:sz="4" w:space="0"/>
              <w:bottom w:val="single" w:color="auto" w:sz="4" w:space="0"/>
              <w:right w:val="single" w:color="auto" w:sz="4" w:space="0"/>
            </w:tcBorders>
            <w:vAlign w:val="center"/>
          </w:tcPr>
          <w:p w14:paraId="1A3FBCC5">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3BE85CEC">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375C05D6">
            <w:pPr>
              <w:widowControl/>
              <w:jc w:val="center"/>
              <w:rPr>
                <w:rFonts w:ascii="宋体" w:hAnsi="宋体"/>
                <w:color w:val="000000" w:themeColor="text1"/>
                <w:kern w:val="0"/>
                <w:sz w:val="18"/>
                <w:szCs w:val="18"/>
              </w:rPr>
            </w:pPr>
          </w:p>
        </w:tc>
      </w:tr>
      <w:tr w14:paraId="699C2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81" w:hRule="atLeast"/>
        </w:trPr>
        <w:tc>
          <w:tcPr>
            <w:tcW w:w="577" w:type="dxa"/>
            <w:tcBorders>
              <w:top w:val="single" w:color="auto" w:sz="4" w:space="0"/>
              <w:left w:val="single" w:color="auto" w:sz="8" w:space="0"/>
              <w:bottom w:val="single" w:color="auto" w:sz="4" w:space="0"/>
              <w:right w:val="single" w:color="auto" w:sz="4" w:space="0"/>
            </w:tcBorders>
            <w:vAlign w:val="center"/>
          </w:tcPr>
          <w:p w14:paraId="3D1BC4A3">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2</w:t>
            </w:r>
            <w:r>
              <w:rPr>
                <w:rFonts w:hint="eastAsia" w:ascii="宋体" w:hAnsi="宋体"/>
                <w:color w:val="000000" w:themeColor="text1"/>
                <w:kern w:val="0"/>
                <w:sz w:val="18"/>
                <w:szCs w:val="18"/>
                <w:lang w:val="en-US" w:eastAsia="zh-CN"/>
              </w:rPr>
              <w:t>6</w:t>
            </w:r>
          </w:p>
        </w:tc>
        <w:tc>
          <w:tcPr>
            <w:tcW w:w="0" w:type="auto"/>
            <w:vMerge w:val="continue"/>
            <w:tcBorders>
              <w:top w:val="nil"/>
              <w:left w:val="single" w:color="auto" w:sz="4" w:space="0"/>
              <w:bottom w:val="single" w:color="auto" w:sz="4" w:space="0"/>
              <w:right w:val="single" w:color="auto" w:sz="4" w:space="0"/>
            </w:tcBorders>
            <w:vAlign w:val="center"/>
          </w:tcPr>
          <w:p w14:paraId="0E8F7AA1">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62D6F67A">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附着</w:t>
            </w:r>
          </w:p>
        </w:tc>
        <w:tc>
          <w:tcPr>
            <w:tcW w:w="4385" w:type="dxa"/>
            <w:tcBorders>
              <w:top w:val="single" w:color="auto" w:sz="4" w:space="0"/>
              <w:left w:val="single" w:color="auto" w:sz="4" w:space="0"/>
              <w:bottom w:val="single" w:color="auto" w:sz="4" w:space="0"/>
              <w:right w:val="single" w:color="auto" w:sz="4" w:space="0"/>
            </w:tcBorders>
            <w:vAlign w:val="center"/>
          </w:tcPr>
          <w:p w14:paraId="0C8DAD76">
            <w:p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1.结构形式、水平距离和垂直间距与使用说明书或者特殊规定不符</w:t>
            </w:r>
          </w:p>
          <w:p w14:paraId="7143DB62">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2.变形或者连接松动</w:t>
            </w:r>
          </w:p>
        </w:tc>
        <w:tc>
          <w:tcPr>
            <w:tcW w:w="1842" w:type="dxa"/>
            <w:tcBorders>
              <w:top w:val="single" w:color="auto" w:sz="4" w:space="0"/>
              <w:left w:val="single" w:color="auto" w:sz="4" w:space="0"/>
              <w:bottom w:val="single" w:color="auto" w:sz="4" w:space="0"/>
              <w:right w:val="single" w:color="auto" w:sz="4" w:space="0"/>
            </w:tcBorders>
            <w:vAlign w:val="center"/>
          </w:tcPr>
          <w:p w14:paraId="066C11BB">
            <w:pPr>
              <w:pStyle w:val="236"/>
              <w:spacing w:before="6" w:beforeAutospacing="0"/>
              <w:ind w:left="27" w:right="118"/>
              <w:rPr>
                <w:rFonts w:cs="Times New Roman"/>
                <w:color w:val="000000" w:themeColor="text1"/>
                <w:sz w:val="18"/>
                <w:szCs w:val="18"/>
              </w:rPr>
            </w:pPr>
            <w:r>
              <w:rPr>
                <w:rFonts w:hint="eastAsia" w:ascii="宋体" w:hAnsi="宋体"/>
                <w:color w:val="000000" w:themeColor="text1"/>
                <w:sz w:val="18"/>
                <w:szCs w:val="18"/>
                <w:lang w:val="en-US" w:eastAsia="zh-CN"/>
              </w:rPr>
              <w:t>坠落、晃动、倾倒</w:t>
            </w:r>
          </w:p>
        </w:tc>
        <w:tc>
          <w:tcPr>
            <w:tcW w:w="3544" w:type="dxa"/>
            <w:tcBorders>
              <w:top w:val="single" w:color="auto" w:sz="4" w:space="0"/>
              <w:left w:val="single" w:color="auto" w:sz="4" w:space="0"/>
              <w:bottom w:val="single" w:color="auto" w:sz="4" w:space="0"/>
              <w:right w:val="single" w:color="auto" w:sz="4" w:space="0"/>
            </w:tcBorders>
            <w:vAlign w:val="center"/>
          </w:tcPr>
          <w:p w14:paraId="36C31F88">
            <w:pPr>
              <w:rPr>
                <w:rFonts w:hint="default" w:ascii="宋体" w:hAnsi="宋体"/>
                <w:color w:val="000000" w:themeColor="text1"/>
                <w:sz w:val="18"/>
                <w:szCs w:val="18"/>
                <w:lang w:val="en-US"/>
              </w:rPr>
            </w:pPr>
            <w:r>
              <w:rPr>
                <w:rFonts w:hint="eastAsia" w:ascii="宋体" w:hAnsi="宋体"/>
                <w:color w:val="000000" w:themeColor="text1"/>
                <w:sz w:val="18"/>
                <w:szCs w:val="18"/>
                <w:lang w:val="en-US" w:eastAsia="zh-CN"/>
              </w:rPr>
              <w:t>安装时选择与使用说明书或者特殊规定相符的附着装置，水平距离和垂直间距应与使用说明书或者特殊规定相符；检查并及时更换变形附着装置，检查并紧固连接螺栓</w:t>
            </w:r>
          </w:p>
        </w:tc>
        <w:tc>
          <w:tcPr>
            <w:tcW w:w="425" w:type="dxa"/>
            <w:tcBorders>
              <w:top w:val="single" w:color="auto" w:sz="4" w:space="0"/>
              <w:left w:val="single" w:color="auto" w:sz="4" w:space="0"/>
              <w:bottom w:val="single" w:color="auto" w:sz="4" w:space="0"/>
              <w:right w:val="single" w:color="auto" w:sz="4" w:space="0"/>
            </w:tcBorders>
            <w:vAlign w:val="center"/>
          </w:tcPr>
          <w:p w14:paraId="033EEE7C">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6" w:type="dxa"/>
            <w:tcBorders>
              <w:top w:val="single" w:color="auto" w:sz="4" w:space="0"/>
              <w:left w:val="single" w:color="auto" w:sz="4" w:space="0"/>
              <w:bottom w:val="single" w:color="auto" w:sz="4" w:space="0"/>
              <w:right w:val="single" w:color="auto" w:sz="4" w:space="0"/>
            </w:tcBorders>
            <w:vAlign w:val="center"/>
          </w:tcPr>
          <w:p w14:paraId="2867B57A">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14:paraId="138A4FEE">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8</w:t>
            </w:r>
          </w:p>
        </w:tc>
        <w:tc>
          <w:tcPr>
            <w:tcW w:w="425" w:type="dxa"/>
            <w:tcBorders>
              <w:top w:val="single" w:color="auto" w:sz="4" w:space="0"/>
              <w:left w:val="single" w:color="auto" w:sz="4" w:space="0"/>
              <w:bottom w:val="single" w:color="auto" w:sz="4" w:space="0"/>
              <w:right w:val="single" w:color="auto" w:sz="4" w:space="0"/>
            </w:tcBorders>
            <w:vAlign w:val="center"/>
          </w:tcPr>
          <w:p w14:paraId="209ACD0A">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FD988CC">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1A22EB83">
            <w:pPr>
              <w:widowControl/>
              <w:jc w:val="center"/>
              <w:rPr>
                <w:rFonts w:ascii="宋体" w:hAnsi="宋体"/>
                <w:color w:val="000000" w:themeColor="text1"/>
                <w:kern w:val="0"/>
                <w:sz w:val="18"/>
                <w:szCs w:val="18"/>
              </w:rPr>
            </w:pPr>
          </w:p>
        </w:tc>
      </w:tr>
      <w:tr w14:paraId="68A0A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87" w:hRule="atLeast"/>
        </w:trPr>
        <w:tc>
          <w:tcPr>
            <w:tcW w:w="577" w:type="dxa"/>
            <w:tcBorders>
              <w:top w:val="single" w:color="auto" w:sz="4" w:space="0"/>
              <w:left w:val="single" w:color="auto" w:sz="8" w:space="0"/>
              <w:bottom w:val="single" w:color="auto" w:sz="4" w:space="0"/>
              <w:right w:val="single" w:color="auto" w:sz="4" w:space="0"/>
            </w:tcBorders>
            <w:vAlign w:val="center"/>
          </w:tcPr>
          <w:p w14:paraId="46F22E6C">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2</w:t>
            </w:r>
            <w:r>
              <w:rPr>
                <w:rFonts w:hint="eastAsia" w:ascii="宋体" w:hAnsi="宋体"/>
                <w:color w:val="000000" w:themeColor="text1"/>
                <w:kern w:val="0"/>
                <w:sz w:val="18"/>
                <w:szCs w:val="18"/>
                <w:lang w:val="en-US" w:eastAsia="zh-CN"/>
              </w:rPr>
              <w:t>7</w:t>
            </w:r>
          </w:p>
        </w:tc>
        <w:tc>
          <w:tcPr>
            <w:tcW w:w="0" w:type="auto"/>
            <w:vMerge w:val="continue"/>
            <w:tcBorders>
              <w:top w:val="nil"/>
              <w:left w:val="single" w:color="auto" w:sz="4" w:space="0"/>
              <w:bottom w:val="single" w:color="auto" w:sz="4" w:space="0"/>
              <w:right w:val="single" w:color="auto" w:sz="4" w:space="0"/>
            </w:tcBorders>
            <w:vAlign w:val="center"/>
          </w:tcPr>
          <w:p w14:paraId="09611249">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C4277B2">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爬升架</w:t>
            </w:r>
          </w:p>
        </w:tc>
        <w:tc>
          <w:tcPr>
            <w:tcW w:w="4385" w:type="dxa"/>
            <w:tcBorders>
              <w:top w:val="single" w:color="auto" w:sz="4" w:space="0"/>
              <w:left w:val="single" w:color="auto" w:sz="4" w:space="0"/>
              <w:bottom w:val="single" w:color="auto" w:sz="4" w:space="0"/>
              <w:right w:val="single" w:color="auto" w:sz="4" w:space="0"/>
            </w:tcBorders>
            <w:vAlign w:val="center"/>
          </w:tcPr>
          <w:p w14:paraId="4B18B524">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油缸安装座、换步卡板座等主要部分焊缝有裂纹</w:t>
            </w:r>
          </w:p>
          <w:p w14:paraId="0D8EDED5">
            <w:pPr>
              <w:rPr>
                <w:rFonts w:hint="eastAsia" w:ascii="宋体" w:hAnsi="宋体"/>
                <w:color w:val="000000" w:themeColor="text1"/>
                <w:sz w:val="18"/>
                <w:szCs w:val="18"/>
                <w:lang w:val="en-US" w:eastAsia="zh-CN"/>
              </w:rPr>
            </w:pPr>
            <w:r>
              <w:rPr>
                <w:rFonts w:hint="eastAsia" w:ascii="宋体" w:hAnsi="宋体"/>
                <w:color w:val="000000" w:themeColor="text1"/>
                <w:sz w:val="18"/>
                <w:szCs w:val="18"/>
              </w:rPr>
              <w:t>2.</w:t>
            </w:r>
            <w:r>
              <w:rPr>
                <w:rFonts w:hint="eastAsia" w:ascii="宋体" w:hAnsi="宋体"/>
                <w:color w:val="000000" w:themeColor="text1"/>
                <w:sz w:val="18"/>
                <w:szCs w:val="18"/>
                <w:lang w:val="en-US" w:eastAsia="zh-CN"/>
              </w:rPr>
              <w:t>导轮与塔身间隙过大</w:t>
            </w:r>
          </w:p>
          <w:p w14:paraId="4D7D978E">
            <w:p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3.下支座与塔身未按照规定进行连接、紧固与锁定</w:t>
            </w:r>
          </w:p>
          <w:p w14:paraId="69D96F05">
            <w:p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4.防脱装置不齐全或失效</w:t>
            </w:r>
          </w:p>
        </w:tc>
        <w:tc>
          <w:tcPr>
            <w:tcW w:w="1842" w:type="dxa"/>
            <w:tcBorders>
              <w:top w:val="single" w:color="auto" w:sz="4" w:space="0"/>
              <w:left w:val="single" w:color="auto" w:sz="4" w:space="0"/>
              <w:bottom w:val="single" w:color="auto" w:sz="4" w:space="0"/>
              <w:right w:val="single" w:color="auto" w:sz="4" w:space="0"/>
            </w:tcBorders>
            <w:vAlign w:val="center"/>
          </w:tcPr>
          <w:p w14:paraId="491BB0D4">
            <w:pPr>
              <w:pStyle w:val="236"/>
              <w:spacing w:before="6" w:beforeAutospacing="0"/>
              <w:ind w:left="27" w:right="118"/>
              <w:rPr>
                <w:rFonts w:hint="eastAsia" w:eastAsia="宋体" w:cs="Times New Roman"/>
                <w:color w:val="000000" w:themeColor="text1"/>
                <w:sz w:val="18"/>
                <w:szCs w:val="18"/>
                <w:lang w:val="en-US" w:eastAsia="zh-CN"/>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倾倒</w:t>
            </w:r>
          </w:p>
        </w:tc>
        <w:tc>
          <w:tcPr>
            <w:tcW w:w="3544" w:type="dxa"/>
            <w:tcBorders>
              <w:top w:val="single" w:color="auto" w:sz="4" w:space="0"/>
              <w:left w:val="single" w:color="auto" w:sz="4" w:space="0"/>
              <w:bottom w:val="single" w:color="auto" w:sz="4" w:space="0"/>
              <w:right w:val="single" w:color="auto" w:sz="4" w:space="0"/>
            </w:tcBorders>
            <w:vAlign w:val="center"/>
          </w:tcPr>
          <w:p w14:paraId="7181BD33">
            <w:pPr>
              <w:spacing w:line="320" w:lineRule="exact"/>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在塔式起重机安装时，应先检查爬升架油缸安装座、换步卡板座等主要部分焊缝，必要时用20倍放大镜或表面探伤进行辅助检查，确保无裂纹；安装时或爬升前，都应检查导轮与塔身间隙、嵌合量及标准节接口阶差确保符合要求；下支座与塔身按照规定进行连接、紧固与锁定；检查防脱装置确保齐全有效</w:t>
            </w:r>
          </w:p>
        </w:tc>
        <w:tc>
          <w:tcPr>
            <w:tcW w:w="425" w:type="dxa"/>
            <w:tcBorders>
              <w:top w:val="single" w:color="auto" w:sz="4" w:space="0"/>
              <w:left w:val="single" w:color="auto" w:sz="4" w:space="0"/>
              <w:bottom w:val="single" w:color="auto" w:sz="4" w:space="0"/>
              <w:right w:val="single" w:color="auto" w:sz="4" w:space="0"/>
            </w:tcBorders>
            <w:vAlign w:val="center"/>
          </w:tcPr>
          <w:p w14:paraId="2A1FCF8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6" w:type="dxa"/>
            <w:tcBorders>
              <w:top w:val="single" w:color="auto" w:sz="4" w:space="0"/>
              <w:left w:val="single" w:color="auto" w:sz="4" w:space="0"/>
              <w:bottom w:val="single" w:color="auto" w:sz="4" w:space="0"/>
              <w:right w:val="single" w:color="auto" w:sz="4" w:space="0"/>
            </w:tcBorders>
            <w:vAlign w:val="center"/>
          </w:tcPr>
          <w:p w14:paraId="14847BB7">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4</w:t>
            </w:r>
          </w:p>
        </w:tc>
        <w:tc>
          <w:tcPr>
            <w:tcW w:w="425" w:type="dxa"/>
            <w:tcBorders>
              <w:top w:val="single" w:color="auto" w:sz="4" w:space="0"/>
              <w:left w:val="single" w:color="auto" w:sz="4" w:space="0"/>
              <w:bottom w:val="single" w:color="auto" w:sz="4" w:space="0"/>
              <w:right w:val="single" w:color="auto" w:sz="4" w:space="0"/>
            </w:tcBorders>
            <w:vAlign w:val="center"/>
          </w:tcPr>
          <w:p w14:paraId="54BA4778">
            <w:pPr>
              <w:jc w:val="center"/>
              <w:rPr>
                <w:rFonts w:ascii="宋体" w:hAnsi="宋体"/>
                <w:color w:val="000000" w:themeColor="text1"/>
                <w:sz w:val="18"/>
                <w:szCs w:val="18"/>
              </w:rPr>
            </w:pPr>
            <w:r>
              <w:rPr>
                <w:rFonts w:ascii="宋体" w:hAnsi="宋体"/>
                <w:color w:val="000000" w:themeColor="text1"/>
                <w:sz w:val="18"/>
                <w:szCs w:val="18"/>
              </w:rPr>
              <w:t>8</w:t>
            </w:r>
          </w:p>
        </w:tc>
        <w:tc>
          <w:tcPr>
            <w:tcW w:w="425" w:type="dxa"/>
            <w:tcBorders>
              <w:top w:val="single" w:color="auto" w:sz="4" w:space="0"/>
              <w:left w:val="single" w:color="auto" w:sz="4" w:space="0"/>
              <w:bottom w:val="single" w:color="auto" w:sz="4" w:space="0"/>
              <w:right w:val="single" w:color="auto" w:sz="4" w:space="0"/>
            </w:tcBorders>
            <w:vAlign w:val="center"/>
          </w:tcPr>
          <w:p w14:paraId="17FB4A49">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127C07B">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5583B7B8">
            <w:pPr>
              <w:widowControl/>
              <w:jc w:val="center"/>
              <w:rPr>
                <w:rFonts w:ascii="宋体" w:hAnsi="宋体"/>
                <w:color w:val="000000" w:themeColor="text1"/>
                <w:kern w:val="0"/>
                <w:sz w:val="18"/>
                <w:szCs w:val="18"/>
              </w:rPr>
            </w:pPr>
          </w:p>
        </w:tc>
      </w:tr>
      <w:tr w14:paraId="32194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46" w:hRule="atLeast"/>
        </w:trPr>
        <w:tc>
          <w:tcPr>
            <w:tcW w:w="577" w:type="dxa"/>
            <w:tcBorders>
              <w:top w:val="single" w:color="auto" w:sz="4" w:space="0"/>
              <w:left w:val="single" w:color="auto" w:sz="8" w:space="0"/>
              <w:bottom w:val="single" w:color="auto" w:sz="8" w:space="0"/>
              <w:right w:val="single" w:color="auto" w:sz="4" w:space="0"/>
            </w:tcBorders>
            <w:vAlign w:val="center"/>
          </w:tcPr>
          <w:p w14:paraId="2801AA57">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2</w:t>
            </w:r>
            <w:r>
              <w:rPr>
                <w:rFonts w:hint="eastAsia" w:ascii="宋体" w:hAnsi="宋体"/>
                <w:color w:val="000000" w:themeColor="text1"/>
                <w:kern w:val="0"/>
                <w:sz w:val="18"/>
                <w:szCs w:val="18"/>
                <w:lang w:val="en-US" w:eastAsia="zh-CN"/>
              </w:rPr>
              <w:t>8</w:t>
            </w:r>
          </w:p>
        </w:tc>
        <w:tc>
          <w:tcPr>
            <w:tcW w:w="0" w:type="auto"/>
            <w:vMerge w:val="continue"/>
            <w:tcBorders>
              <w:top w:val="nil"/>
              <w:left w:val="single" w:color="auto" w:sz="4" w:space="0"/>
              <w:bottom w:val="single" w:color="auto" w:sz="4" w:space="0"/>
              <w:right w:val="single" w:color="auto" w:sz="4" w:space="0"/>
            </w:tcBorders>
            <w:vAlign w:val="center"/>
          </w:tcPr>
          <w:p w14:paraId="4F15DCFC">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71AF460A">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上、下支座</w:t>
            </w:r>
          </w:p>
        </w:tc>
        <w:tc>
          <w:tcPr>
            <w:tcW w:w="4385" w:type="dxa"/>
            <w:tcBorders>
              <w:top w:val="single" w:color="auto" w:sz="4" w:space="0"/>
              <w:left w:val="single" w:color="auto" w:sz="4" w:space="0"/>
              <w:bottom w:val="single" w:color="auto" w:sz="8" w:space="0"/>
              <w:right w:val="single" w:color="auto" w:sz="4" w:space="0"/>
            </w:tcBorders>
            <w:vAlign w:val="center"/>
          </w:tcPr>
          <w:p w14:paraId="76E450EC">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支撑链接螺栓松动</w:t>
            </w:r>
          </w:p>
          <w:p w14:paraId="6CB5F48C">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2.</w:t>
            </w:r>
            <w:r>
              <w:rPr>
                <w:rFonts w:hint="eastAsia" w:ascii="宋体" w:hAnsi="宋体"/>
                <w:color w:val="000000" w:themeColor="text1"/>
                <w:sz w:val="18"/>
                <w:szCs w:val="18"/>
                <w:lang w:val="en-US" w:eastAsia="zh-CN"/>
              </w:rPr>
              <w:t>开式齿轮过度磨损</w:t>
            </w:r>
          </w:p>
          <w:p w14:paraId="10D00C56">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3</w:t>
            </w:r>
            <w:r>
              <w:rPr>
                <w:rFonts w:hint="eastAsia" w:ascii="宋体" w:hAnsi="宋体"/>
                <w:color w:val="000000" w:themeColor="text1"/>
                <w:sz w:val="18"/>
                <w:szCs w:val="18"/>
                <w:lang w:val="en-US" w:eastAsia="zh-CN"/>
              </w:rPr>
              <w:t>塔身连接座、回转塔身连接座焊缝有裂纹</w:t>
            </w:r>
          </w:p>
        </w:tc>
        <w:tc>
          <w:tcPr>
            <w:tcW w:w="1842" w:type="dxa"/>
            <w:tcBorders>
              <w:top w:val="single" w:color="auto" w:sz="4" w:space="0"/>
              <w:left w:val="single" w:color="auto" w:sz="4" w:space="0"/>
              <w:bottom w:val="single" w:color="auto" w:sz="8" w:space="0"/>
              <w:right w:val="single" w:color="auto" w:sz="4" w:space="0"/>
            </w:tcBorders>
            <w:vAlign w:val="center"/>
          </w:tcPr>
          <w:p w14:paraId="609A05A8">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故障</w:t>
            </w:r>
            <w:r>
              <w:rPr>
                <w:rFonts w:hint="eastAsia" w:cs="Times New Roman"/>
                <w:color w:val="000000" w:themeColor="text1"/>
                <w:sz w:val="18"/>
                <w:szCs w:val="18"/>
              </w:rPr>
              <w:t>、</w:t>
            </w:r>
            <w:r>
              <w:rPr>
                <w:rFonts w:hint="eastAsia" w:cs="Times New Roman"/>
                <w:color w:val="000000" w:themeColor="text1"/>
                <w:sz w:val="18"/>
                <w:szCs w:val="18"/>
                <w:lang w:val="en-US" w:eastAsia="zh-CN"/>
              </w:rPr>
              <w:t>倾倒</w:t>
            </w:r>
          </w:p>
        </w:tc>
        <w:tc>
          <w:tcPr>
            <w:tcW w:w="3544" w:type="dxa"/>
            <w:tcBorders>
              <w:top w:val="single" w:color="auto" w:sz="4" w:space="0"/>
              <w:left w:val="single" w:color="auto" w:sz="4" w:space="0"/>
              <w:bottom w:val="single" w:color="auto" w:sz="8" w:space="0"/>
              <w:right w:val="single" w:color="auto" w:sz="4" w:space="0"/>
            </w:tcBorders>
            <w:vAlign w:val="center"/>
          </w:tcPr>
          <w:p w14:paraId="644DDEB2">
            <w:pPr>
              <w:spacing w:line="320" w:lineRule="exact"/>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安装时保证塔身与上下支座可靠连接，定期检查连接螺栓紧固情况，定期检查开式齿轮磨损情况，用20倍放大镜或表面探伤进行辅助检查</w:t>
            </w:r>
          </w:p>
        </w:tc>
        <w:tc>
          <w:tcPr>
            <w:tcW w:w="425" w:type="dxa"/>
            <w:tcBorders>
              <w:top w:val="single" w:color="auto" w:sz="4" w:space="0"/>
              <w:left w:val="single" w:color="auto" w:sz="4" w:space="0"/>
              <w:bottom w:val="single" w:color="auto" w:sz="8" w:space="0"/>
              <w:right w:val="single" w:color="auto" w:sz="4" w:space="0"/>
            </w:tcBorders>
            <w:vAlign w:val="center"/>
          </w:tcPr>
          <w:p w14:paraId="57DE55A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6" w:type="dxa"/>
            <w:tcBorders>
              <w:top w:val="single" w:color="auto" w:sz="4" w:space="0"/>
              <w:left w:val="single" w:color="auto" w:sz="4" w:space="0"/>
              <w:bottom w:val="single" w:color="auto" w:sz="8" w:space="0"/>
              <w:right w:val="single" w:color="auto" w:sz="4" w:space="0"/>
            </w:tcBorders>
            <w:vAlign w:val="center"/>
          </w:tcPr>
          <w:p w14:paraId="176FD6DA">
            <w:pPr>
              <w:jc w:val="center"/>
              <w:rPr>
                <w:rFonts w:ascii="宋体" w:hAnsi="宋体"/>
                <w:color w:val="000000" w:themeColor="text1"/>
                <w:sz w:val="18"/>
                <w:szCs w:val="18"/>
              </w:rPr>
            </w:pPr>
            <w:r>
              <w:rPr>
                <w:rFonts w:hint="eastAsia" w:ascii="宋体" w:hAnsi="宋体"/>
                <w:color w:val="000000" w:themeColor="text1"/>
                <w:sz w:val="18"/>
                <w:szCs w:val="18"/>
                <w:lang w:val="en-US" w:eastAsia="zh-CN"/>
              </w:rPr>
              <w:t>4</w:t>
            </w:r>
          </w:p>
        </w:tc>
        <w:tc>
          <w:tcPr>
            <w:tcW w:w="425" w:type="dxa"/>
            <w:tcBorders>
              <w:top w:val="single" w:color="auto" w:sz="4" w:space="0"/>
              <w:left w:val="single" w:color="auto" w:sz="4" w:space="0"/>
              <w:bottom w:val="single" w:color="auto" w:sz="8" w:space="0"/>
              <w:right w:val="single" w:color="auto" w:sz="4" w:space="0"/>
            </w:tcBorders>
            <w:vAlign w:val="center"/>
          </w:tcPr>
          <w:p w14:paraId="266B9D1B">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8</w:t>
            </w:r>
          </w:p>
        </w:tc>
        <w:tc>
          <w:tcPr>
            <w:tcW w:w="425" w:type="dxa"/>
            <w:tcBorders>
              <w:top w:val="single" w:color="auto" w:sz="4" w:space="0"/>
              <w:left w:val="single" w:color="auto" w:sz="4" w:space="0"/>
              <w:bottom w:val="single" w:color="auto" w:sz="8" w:space="0"/>
              <w:right w:val="single" w:color="auto" w:sz="4" w:space="0"/>
            </w:tcBorders>
            <w:vAlign w:val="center"/>
          </w:tcPr>
          <w:p w14:paraId="6EF4FB80">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35291D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00E2091F">
            <w:pPr>
              <w:widowControl/>
              <w:jc w:val="center"/>
              <w:rPr>
                <w:rFonts w:ascii="宋体" w:hAnsi="宋体"/>
                <w:color w:val="000000" w:themeColor="text1"/>
                <w:kern w:val="0"/>
                <w:sz w:val="18"/>
                <w:szCs w:val="18"/>
              </w:rPr>
            </w:pPr>
          </w:p>
        </w:tc>
      </w:tr>
    </w:tbl>
    <w:p w14:paraId="0119C854">
      <w:pPr>
        <w:pStyle w:val="58"/>
        <w:ind w:left="0" w:leftChars="0" w:firstLine="0" w:firstLineChars="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995"/>
        <w:gridCol w:w="4099"/>
        <w:gridCol w:w="1842"/>
        <w:gridCol w:w="3544"/>
        <w:gridCol w:w="425"/>
        <w:gridCol w:w="426"/>
        <w:gridCol w:w="425"/>
        <w:gridCol w:w="425"/>
        <w:gridCol w:w="425"/>
        <w:gridCol w:w="548"/>
      </w:tblGrid>
      <w:tr w14:paraId="531C1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538BB7D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562" w:type="dxa"/>
            <w:gridSpan w:val="2"/>
            <w:tcBorders>
              <w:top w:val="single" w:color="auto" w:sz="8" w:space="0"/>
              <w:left w:val="single" w:color="auto" w:sz="4" w:space="0"/>
              <w:bottom w:val="single" w:color="auto" w:sz="8" w:space="0"/>
              <w:right w:val="single" w:color="auto" w:sz="4" w:space="0"/>
            </w:tcBorders>
            <w:vAlign w:val="center"/>
          </w:tcPr>
          <w:p w14:paraId="0BAAABE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099" w:type="dxa"/>
            <w:tcBorders>
              <w:top w:val="single" w:color="auto" w:sz="8" w:space="0"/>
              <w:left w:val="single" w:color="auto" w:sz="4" w:space="0"/>
              <w:bottom w:val="single" w:color="auto" w:sz="8" w:space="0"/>
              <w:right w:val="single" w:color="auto" w:sz="4" w:space="0"/>
            </w:tcBorders>
            <w:vAlign w:val="center"/>
          </w:tcPr>
          <w:p w14:paraId="308277B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322CD61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1C869EF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5FF8CAE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7228419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67C4F3A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65A3CC7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79674AA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7E6D23B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54F93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00" w:hRule="atLeast"/>
        </w:trPr>
        <w:tc>
          <w:tcPr>
            <w:tcW w:w="577" w:type="dxa"/>
            <w:tcBorders>
              <w:top w:val="single" w:color="auto" w:sz="8" w:space="0"/>
              <w:left w:val="single" w:color="auto" w:sz="8" w:space="0"/>
              <w:bottom w:val="single" w:color="auto" w:sz="4" w:space="0"/>
              <w:right w:val="single" w:color="auto" w:sz="4" w:space="0"/>
            </w:tcBorders>
            <w:vAlign w:val="center"/>
          </w:tcPr>
          <w:p w14:paraId="4E765F2D">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2</w:t>
            </w:r>
            <w:r>
              <w:rPr>
                <w:rFonts w:hint="eastAsia" w:ascii="宋体" w:hAnsi="宋体"/>
                <w:color w:val="000000" w:themeColor="text1"/>
                <w:kern w:val="0"/>
                <w:sz w:val="18"/>
                <w:szCs w:val="18"/>
                <w:lang w:val="en-US" w:eastAsia="zh-CN"/>
              </w:rPr>
              <w:t>9</w:t>
            </w:r>
          </w:p>
        </w:tc>
        <w:tc>
          <w:tcPr>
            <w:tcW w:w="567" w:type="dxa"/>
            <w:vMerge w:val="restart"/>
            <w:tcBorders>
              <w:top w:val="nil"/>
              <w:left w:val="single" w:color="auto" w:sz="4" w:space="0"/>
              <w:right w:val="single" w:color="auto" w:sz="4" w:space="0"/>
            </w:tcBorders>
            <w:vAlign w:val="center"/>
          </w:tcPr>
          <w:p w14:paraId="082F7105">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7569FB94">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995" w:type="dxa"/>
            <w:tcBorders>
              <w:top w:val="single" w:color="auto" w:sz="8" w:space="0"/>
              <w:left w:val="single" w:color="auto" w:sz="4" w:space="0"/>
              <w:bottom w:val="single" w:color="auto" w:sz="4" w:space="0"/>
              <w:right w:val="single" w:color="auto" w:sz="4" w:space="0"/>
            </w:tcBorders>
            <w:vAlign w:val="center"/>
          </w:tcPr>
          <w:p w14:paraId="67798BD5">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塔顶、臂架节、平衡臂</w:t>
            </w:r>
          </w:p>
        </w:tc>
        <w:tc>
          <w:tcPr>
            <w:tcW w:w="4099" w:type="dxa"/>
            <w:tcBorders>
              <w:top w:val="single" w:color="auto" w:sz="8" w:space="0"/>
              <w:left w:val="single" w:color="auto" w:sz="4" w:space="0"/>
              <w:bottom w:val="single" w:color="auto" w:sz="4" w:space="0"/>
              <w:right w:val="single" w:color="auto" w:sz="4" w:space="0"/>
            </w:tcBorders>
            <w:vAlign w:val="center"/>
          </w:tcPr>
          <w:p w14:paraId="2F27BFA1">
            <w:pPr>
              <w:numPr>
                <w:ilvl w:val="0"/>
                <w:numId w:val="38"/>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主弦杆、腹杆塑性变形</w:t>
            </w:r>
          </w:p>
          <w:p w14:paraId="1838B602">
            <w:pPr>
              <w:numPr>
                <w:ilvl w:val="0"/>
                <w:numId w:val="38"/>
              </w:numPr>
              <w:ind w:left="0" w:leftChars="0" w:firstLine="0" w:firstLineChars="0"/>
              <w:rPr>
                <w:rFonts w:ascii="宋体" w:hAnsi="宋体"/>
                <w:color w:val="000000" w:themeColor="text1"/>
                <w:sz w:val="18"/>
                <w:szCs w:val="18"/>
              </w:rPr>
            </w:pPr>
            <w:r>
              <w:rPr>
                <w:rFonts w:hint="eastAsia" w:ascii="宋体" w:hAnsi="宋体"/>
                <w:color w:val="000000" w:themeColor="text1"/>
                <w:sz w:val="18"/>
                <w:szCs w:val="18"/>
                <w:lang w:val="en-US" w:eastAsia="zh-CN"/>
              </w:rPr>
              <w:t>焊缝有裂纹</w:t>
            </w:r>
          </w:p>
        </w:tc>
        <w:tc>
          <w:tcPr>
            <w:tcW w:w="1842" w:type="dxa"/>
            <w:tcBorders>
              <w:top w:val="single" w:color="auto" w:sz="8" w:space="0"/>
              <w:left w:val="single" w:color="auto" w:sz="4" w:space="0"/>
              <w:bottom w:val="single" w:color="auto" w:sz="4" w:space="0"/>
              <w:right w:val="single" w:color="auto" w:sz="4" w:space="0"/>
            </w:tcBorders>
            <w:vAlign w:val="center"/>
          </w:tcPr>
          <w:p w14:paraId="27D6D945">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lang w:val="en-US" w:eastAsia="zh-CN"/>
              </w:rPr>
              <w:t>坠落</w:t>
            </w:r>
            <w:r>
              <w:rPr>
                <w:rFonts w:hint="eastAsia" w:cs="Times New Roman"/>
                <w:color w:val="000000" w:themeColor="text1"/>
                <w:sz w:val="18"/>
                <w:szCs w:val="18"/>
              </w:rPr>
              <w:t>、</w:t>
            </w:r>
            <w:r>
              <w:rPr>
                <w:rFonts w:hint="eastAsia" w:cs="Times New Roman"/>
                <w:color w:val="000000" w:themeColor="text1"/>
                <w:sz w:val="18"/>
                <w:szCs w:val="18"/>
                <w:lang w:val="en-US" w:eastAsia="zh-CN"/>
              </w:rPr>
              <w:t>倾倒</w:t>
            </w:r>
          </w:p>
        </w:tc>
        <w:tc>
          <w:tcPr>
            <w:tcW w:w="3544" w:type="dxa"/>
            <w:tcBorders>
              <w:top w:val="single" w:color="auto" w:sz="8" w:space="0"/>
              <w:left w:val="single" w:color="auto" w:sz="4" w:space="0"/>
              <w:bottom w:val="single" w:color="auto" w:sz="4" w:space="0"/>
              <w:right w:val="single" w:color="auto" w:sz="4" w:space="0"/>
            </w:tcBorders>
            <w:vAlign w:val="center"/>
          </w:tcPr>
          <w:p w14:paraId="02AC02C9">
            <w:pPr>
              <w:numPr>
                <w:ilvl w:val="0"/>
                <w:numId w:val="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定期检查主弦杆、腹杆，有塑性变形时及时更换，用20倍放大镜或表面探伤进行辅助检查</w:t>
            </w:r>
          </w:p>
          <w:p w14:paraId="7E1E75E3">
            <w:pPr>
              <w:spacing w:line="320" w:lineRule="exact"/>
              <w:rPr>
                <w:rFonts w:hint="default" w:ascii="宋体" w:hAnsi="宋体" w:eastAsia="宋体"/>
                <w:color w:val="000000" w:themeColor="text1"/>
                <w:sz w:val="18"/>
                <w:szCs w:val="18"/>
                <w:lang w:val="en-US" w:eastAsia="zh-CN"/>
              </w:rPr>
            </w:pPr>
          </w:p>
        </w:tc>
        <w:tc>
          <w:tcPr>
            <w:tcW w:w="425" w:type="dxa"/>
            <w:tcBorders>
              <w:top w:val="single" w:color="auto" w:sz="8" w:space="0"/>
              <w:left w:val="single" w:color="auto" w:sz="4" w:space="0"/>
              <w:bottom w:val="single" w:color="auto" w:sz="4" w:space="0"/>
              <w:right w:val="single" w:color="auto" w:sz="4" w:space="0"/>
            </w:tcBorders>
            <w:vAlign w:val="center"/>
          </w:tcPr>
          <w:p w14:paraId="3E10C34B">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8" w:space="0"/>
              <w:left w:val="single" w:color="auto" w:sz="4" w:space="0"/>
              <w:bottom w:val="single" w:color="auto" w:sz="4" w:space="0"/>
              <w:right w:val="single" w:color="auto" w:sz="4" w:space="0"/>
            </w:tcBorders>
            <w:vAlign w:val="center"/>
          </w:tcPr>
          <w:p w14:paraId="7CCBE292">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5</w:t>
            </w:r>
          </w:p>
        </w:tc>
        <w:tc>
          <w:tcPr>
            <w:tcW w:w="425" w:type="dxa"/>
            <w:tcBorders>
              <w:top w:val="single" w:color="auto" w:sz="8" w:space="0"/>
              <w:left w:val="single" w:color="auto" w:sz="4" w:space="0"/>
              <w:bottom w:val="single" w:color="auto" w:sz="4" w:space="0"/>
              <w:right w:val="single" w:color="auto" w:sz="4" w:space="0"/>
            </w:tcBorders>
            <w:vAlign w:val="center"/>
          </w:tcPr>
          <w:p w14:paraId="7EB2C2C2">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10</w:t>
            </w:r>
          </w:p>
        </w:tc>
        <w:tc>
          <w:tcPr>
            <w:tcW w:w="425" w:type="dxa"/>
            <w:tcBorders>
              <w:top w:val="single" w:color="auto" w:sz="8" w:space="0"/>
              <w:left w:val="single" w:color="auto" w:sz="4" w:space="0"/>
              <w:bottom w:val="single" w:color="auto" w:sz="4" w:space="0"/>
              <w:right w:val="single" w:color="auto" w:sz="4" w:space="0"/>
            </w:tcBorders>
            <w:vAlign w:val="center"/>
          </w:tcPr>
          <w:p w14:paraId="455FFB7B">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56FC87CF">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3CB50843">
            <w:pPr>
              <w:widowControl/>
              <w:jc w:val="center"/>
              <w:rPr>
                <w:rFonts w:ascii="宋体" w:hAnsi="宋体"/>
                <w:color w:val="000000" w:themeColor="text1"/>
                <w:kern w:val="0"/>
                <w:sz w:val="18"/>
                <w:szCs w:val="18"/>
              </w:rPr>
            </w:pPr>
          </w:p>
        </w:tc>
      </w:tr>
      <w:tr w14:paraId="04C97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712" w:hRule="atLeast"/>
        </w:trPr>
        <w:tc>
          <w:tcPr>
            <w:tcW w:w="577" w:type="dxa"/>
            <w:tcBorders>
              <w:top w:val="single" w:color="auto" w:sz="4" w:space="0"/>
              <w:left w:val="single" w:color="auto" w:sz="8" w:space="0"/>
              <w:bottom w:val="single" w:color="auto" w:sz="4" w:space="0"/>
              <w:right w:val="single" w:color="auto" w:sz="4" w:space="0"/>
            </w:tcBorders>
            <w:vAlign w:val="center"/>
          </w:tcPr>
          <w:p w14:paraId="1AF1F767">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30</w:t>
            </w:r>
          </w:p>
        </w:tc>
        <w:tc>
          <w:tcPr>
            <w:tcW w:w="567" w:type="dxa"/>
            <w:vMerge w:val="continue"/>
            <w:tcBorders>
              <w:left w:val="single" w:color="auto" w:sz="4" w:space="0"/>
              <w:right w:val="single" w:color="auto" w:sz="4" w:space="0"/>
            </w:tcBorders>
            <w:vAlign w:val="center"/>
          </w:tcPr>
          <w:p w14:paraId="6D5666CB">
            <w:pPr>
              <w:widowControl/>
              <w:adjustRightInd/>
              <w:spacing w:line="240" w:lineRule="auto"/>
              <w:jc w:val="left"/>
              <w:rPr>
                <w:rFonts w:ascii="宋体" w:hAnsi="宋体"/>
                <w:color w:val="000000" w:themeColor="text1"/>
                <w:kern w:val="0"/>
                <w:sz w:val="18"/>
                <w:szCs w:val="18"/>
              </w:rPr>
            </w:pPr>
          </w:p>
        </w:tc>
        <w:tc>
          <w:tcPr>
            <w:tcW w:w="995" w:type="dxa"/>
            <w:tcBorders>
              <w:top w:val="single" w:color="auto" w:sz="4" w:space="0"/>
              <w:left w:val="single" w:color="auto" w:sz="4" w:space="0"/>
              <w:bottom w:val="single" w:color="auto" w:sz="4" w:space="0"/>
              <w:right w:val="single" w:color="auto" w:sz="4" w:space="0"/>
            </w:tcBorders>
            <w:vAlign w:val="center"/>
          </w:tcPr>
          <w:p w14:paraId="52DEC0DE">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起升机构、变幅机构、回转机构</w:t>
            </w:r>
          </w:p>
        </w:tc>
        <w:tc>
          <w:tcPr>
            <w:tcW w:w="4099" w:type="dxa"/>
            <w:tcBorders>
              <w:top w:val="single" w:color="auto" w:sz="4" w:space="0"/>
              <w:left w:val="single" w:color="auto" w:sz="4" w:space="0"/>
              <w:bottom w:val="single" w:color="auto" w:sz="4" w:space="0"/>
              <w:right w:val="single" w:color="auto" w:sz="4" w:space="0"/>
            </w:tcBorders>
            <w:vAlign w:val="center"/>
          </w:tcPr>
          <w:p w14:paraId="0E83E94F">
            <w:pPr>
              <w:numPr>
                <w:ilvl w:val="0"/>
                <w:numId w:val="39"/>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机构紧固不牢靠</w:t>
            </w:r>
          </w:p>
          <w:p w14:paraId="0E97539F">
            <w:pPr>
              <w:numPr>
                <w:ilvl w:val="0"/>
                <w:numId w:val="39"/>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各传动机构及运动部件润滑情况不良</w:t>
            </w:r>
          </w:p>
          <w:p w14:paraId="6491DB57">
            <w:pPr>
              <w:numPr>
                <w:ilvl w:val="0"/>
                <w:numId w:val="39"/>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制动部件磨损严重或失效</w:t>
            </w:r>
          </w:p>
          <w:p w14:paraId="1B6742B5">
            <w:pPr>
              <w:numPr>
                <w:ilvl w:val="0"/>
                <w:numId w:val="39"/>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空运转有异常噪声、制动动作不可靠</w:t>
            </w:r>
          </w:p>
          <w:p w14:paraId="165EA197">
            <w:pPr>
              <w:numPr>
                <w:ilvl w:val="0"/>
                <w:numId w:val="0"/>
              </w:numPr>
              <w:rPr>
                <w:rFonts w:hint="default" w:ascii="宋体" w:hAnsi="宋体"/>
                <w:color w:val="000000" w:themeColor="text1"/>
                <w:sz w:val="18"/>
                <w:szCs w:val="18"/>
                <w:lang w:val="en-US" w:eastAsia="zh-CN"/>
              </w:rPr>
            </w:pPr>
          </w:p>
        </w:tc>
        <w:tc>
          <w:tcPr>
            <w:tcW w:w="1842" w:type="dxa"/>
            <w:tcBorders>
              <w:top w:val="single" w:color="auto" w:sz="4" w:space="0"/>
              <w:left w:val="single" w:color="auto" w:sz="4" w:space="0"/>
              <w:bottom w:val="single" w:color="auto" w:sz="4" w:space="0"/>
              <w:right w:val="single" w:color="auto" w:sz="4" w:space="0"/>
            </w:tcBorders>
            <w:vAlign w:val="center"/>
          </w:tcPr>
          <w:p w14:paraId="3F8B262B">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坠落、故障</w:t>
            </w:r>
          </w:p>
        </w:tc>
        <w:tc>
          <w:tcPr>
            <w:tcW w:w="3544" w:type="dxa"/>
            <w:tcBorders>
              <w:top w:val="single" w:color="auto" w:sz="4" w:space="0"/>
              <w:left w:val="single" w:color="auto" w:sz="4" w:space="0"/>
              <w:bottom w:val="single" w:color="auto" w:sz="4" w:space="0"/>
              <w:right w:val="single" w:color="auto" w:sz="4" w:space="0"/>
            </w:tcBorders>
            <w:vAlign w:val="center"/>
          </w:tcPr>
          <w:p w14:paraId="2E0B7EBE">
            <w:pPr>
              <w:spacing w:line="320" w:lineRule="exact"/>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定期检查各机构确保装配紧固可靠，定期对各传动机构及运动部件进行润滑，每天检查制动装置确保制动动作可靠，定期检查各机构运行时有无异常噪声并及时处理，对磨损过度或失效的制动部件应立即停止使用并更换。</w:t>
            </w:r>
          </w:p>
        </w:tc>
        <w:tc>
          <w:tcPr>
            <w:tcW w:w="425" w:type="dxa"/>
            <w:tcBorders>
              <w:top w:val="single" w:color="auto" w:sz="4" w:space="0"/>
              <w:left w:val="single" w:color="auto" w:sz="4" w:space="0"/>
              <w:bottom w:val="single" w:color="auto" w:sz="4" w:space="0"/>
              <w:right w:val="single" w:color="auto" w:sz="4" w:space="0"/>
            </w:tcBorders>
            <w:vAlign w:val="center"/>
          </w:tcPr>
          <w:p w14:paraId="76ECBC0B">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57DD09CB">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14:paraId="39AF3A08">
            <w:pPr>
              <w:jc w:val="center"/>
              <w:rPr>
                <w:rFonts w:ascii="宋体" w:hAnsi="宋体"/>
                <w:color w:val="000000" w:themeColor="text1"/>
                <w:sz w:val="18"/>
                <w:szCs w:val="18"/>
              </w:rPr>
            </w:pPr>
            <w:r>
              <w:rPr>
                <w:rFonts w:ascii="宋体" w:hAnsi="宋体"/>
                <w:color w:val="000000" w:themeColor="text1"/>
                <w:sz w:val="18"/>
                <w:szCs w:val="18"/>
              </w:rPr>
              <w:t>10</w:t>
            </w:r>
          </w:p>
        </w:tc>
        <w:tc>
          <w:tcPr>
            <w:tcW w:w="425" w:type="dxa"/>
            <w:tcBorders>
              <w:top w:val="single" w:color="auto" w:sz="4" w:space="0"/>
              <w:left w:val="single" w:color="auto" w:sz="4" w:space="0"/>
              <w:bottom w:val="single" w:color="auto" w:sz="4" w:space="0"/>
              <w:right w:val="single" w:color="auto" w:sz="4" w:space="0"/>
            </w:tcBorders>
            <w:vAlign w:val="center"/>
          </w:tcPr>
          <w:p w14:paraId="5CD027AF">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3EC8A15D">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3337E10B">
            <w:pPr>
              <w:widowControl/>
              <w:jc w:val="center"/>
              <w:rPr>
                <w:rFonts w:ascii="宋体" w:hAnsi="宋体"/>
                <w:color w:val="000000" w:themeColor="text1"/>
                <w:kern w:val="0"/>
                <w:sz w:val="18"/>
                <w:szCs w:val="18"/>
              </w:rPr>
            </w:pPr>
          </w:p>
        </w:tc>
      </w:tr>
      <w:tr w14:paraId="073672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77" w:type="dxa"/>
            <w:tcBorders>
              <w:top w:val="single" w:color="auto" w:sz="4" w:space="0"/>
              <w:left w:val="single" w:color="auto" w:sz="8" w:space="0"/>
              <w:bottom w:val="single" w:color="auto" w:sz="4" w:space="0"/>
              <w:right w:val="single" w:color="auto" w:sz="4" w:space="0"/>
            </w:tcBorders>
            <w:vAlign w:val="center"/>
          </w:tcPr>
          <w:p w14:paraId="781AA67D">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31</w:t>
            </w:r>
          </w:p>
        </w:tc>
        <w:tc>
          <w:tcPr>
            <w:tcW w:w="567" w:type="dxa"/>
            <w:vMerge w:val="continue"/>
            <w:tcBorders>
              <w:left w:val="single" w:color="auto" w:sz="4" w:space="0"/>
              <w:right w:val="single" w:color="auto" w:sz="4" w:space="0"/>
            </w:tcBorders>
            <w:vAlign w:val="center"/>
          </w:tcPr>
          <w:p w14:paraId="395A8605">
            <w:pPr>
              <w:widowControl/>
              <w:adjustRightInd/>
              <w:spacing w:line="240" w:lineRule="auto"/>
              <w:jc w:val="left"/>
              <w:rPr>
                <w:rFonts w:ascii="宋体" w:hAnsi="宋体"/>
                <w:color w:val="000000" w:themeColor="text1"/>
                <w:kern w:val="0"/>
                <w:sz w:val="18"/>
                <w:szCs w:val="18"/>
              </w:rPr>
            </w:pPr>
          </w:p>
        </w:tc>
        <w:tc>
          <w:tcPr>
            <w:tcW w:w="995" w:type="dxa"/>
            <w:tcBorders>
              <w:top w:val="single" w:color="auto" w:sz="4" w:space="0"/>
              <w:left w:val="single" w:color="auto" w:sz="4" w:space="0"/>
              <w:bottom w:val="single" w:color="auto" w:sz="4" w:space="0"/>
              <w:right w:val="single" w:color="auto" w:sz="4" w:space="0"/>
            </w:tcBorders>
            <w:vAlign w:val="center"/>
          </w:tcPr>
          <w:p w14:paraId="0C34744B">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运行机构</w:t>
            </w:r>
          </w:p>
        </w:tc>
        <w:tc>
          <w:tcPr>
            <w:tcW w:w="4099" w:type="dxa"/>
            <w:tcBorders>
              <w:top w:val="single" w:color="auto" w:sz="4" w:space="0"/>
              <w:left w:val="single" w:color="auto" w:sz="4" w:space="0"/>
              <w:bottom w:val="single" w:color="auto" w:sz="4" w:space="0"/>
              <w:right w:val="single" w:color="auto" w:sz="4" w:space="0"/>
            </w:tcBorders>
            <w:vAlign w:val="center"/>
          </w:tcPr>
          <w:p w14:paraId="41F61E93">
            <w:pPr>
              <w:numPr>
                <w:ilvl w:val="0"/>
                <w:numId w:val="40"/>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运行机构支承轮失效保护装置变动</w:t>
            </w:r>
          </w:p>
          <w:p w14:paraId="2F5D9BD9">
            <w:pPr>
              <w:numPr>
                <w:ilvl w:val="0"/>
                <w:numId w:val="41"/>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抗风防滑装置有缺损、有裂纹</w:t>
            </w:r>
          </w:p>
        </w:tc>
        <w:tc>
          <w:tcPr>
            <w:tcW w:w="1842" w:type="dxa"/>
            <w:tcBorders>
              <w:top w:val="single" w:color="auto" w:sz="4" w:space="0"/>
              <w:left w:val="single" w:color="auto" w:sz="4" w:space="0"/>
              <w:bottom w:val="single" w:color="auto" w:sz="4" w:space="0"/>
              <w:right w:val="single" w:color="auto" w:sz="4" w:space="0"/>
            </w:tcBorders>
            <w:vAlign w:val="center"/>
          </w:tcPr>
          <w:p w14:paraId="543FC4D4">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lang w:val="en-US" w:eastAsia="zh-CN"/>
              </w:rPr>
              <w:t>倾倒</w:t>
            </w:r>
          </w:p>
        </w:tc>
        <w:tc>
          <w:tcPr>
            <w:tcW w:w="3544" w:type="dxa"/>
            <w:tcBorders>
              <w:top w:val="single" w:color="auto" w:sz="4" w:space="0"/>
              <w:left w:val="single" w:color="auto" w:sz="4" w:space="0"/>
              <w:bottom w:val="single" w:color="auto" w:sz="4" w:space="0"/>
              <w:right w:val="single" w:color="auto" w:sz="4" w:space="0"/>
            </w:tcBorders>
            <w:vAlign w:val="center"/>
          </w:tcPr>
          <w:p w14:paraId="7A774AAE">
            <w:pPr>
              <w:numPr>
                <w:ilvl w:val="0"/>
                <w:numId w:val="0"/>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定期检查运行机构支承轮失效保护装置并确保无变动，每台检查抗风防滑装置并确保其无缺损、无裂纹</w:t>
            </w:r>
          </w:p>
          <w:p w14:paraId="5A4B8838">
            <w:pPr>
              <w:spacing w:line="320" w:lineRule="exact"/>
              <w:rPr>
                <w:rFonts w:hint="default" w:ascii="宋体" w:hAnsi="宋体" w:eastAsia="宋体"/>
                <w:color w:val="000000" w:themeColor="text1"/>
                <w:sz w:val="18"/>
                <w:szCs w:val="18"/>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14:paraId="2B261044">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4</w:t>
            </w:r>
          </w:p>
        </w:tc>
        <w:tc>
          <w:tcPr>
            <w:tcW w:w="426" w:type="dxa"/>
            <w:tcBorders>
              <w:top w:val="single" w:color="auto" w:sz="4" w:space="0"/>
              <w:left w:val="single" w:color="auto" w:sz="4" w:space="0"/>
              <w:bottom w:val="single" w:color="auto" w:sz="4" w:space="0"/>
              <w:right w:val="single" w:color="auto" w:sz="4" w:space="0"/>
            </w:tcBorders>
            <w:vAlign w:val="center"/>
          </w:tcPr>
          <w:p w14:paraId="13B440AE">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4" w:space="0"/>
              <w:right w:val="single" w:color="auto" w:sz="4" w:space="0"/>
            </w:tcBorders>
            <w:vAlign w:val="center"/>
          </w:tcPr>
          <w:p w14:paraId="0B0153CA">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14:paraId="31C49D75">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1</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C645D5E">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红</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10458416">
            <w:pPr>
              <w:widowControl/>
              <w:jc w:val="center"/>
              <w:rPr>
                <w:rFonts w:ascii="宋体" w:hAnsi="宋体"/>
                <w:color w:val="000000" w:themeColor="text1"/>
                <w:kern w:val="0"/>
                <w:sz w:val="18"/>
                <w:szCs w:val="18"/>
              </w:rPr>
            </w:pPr>
          </w:p>
        </w:tc>
      </w:tr>
      <w:tr w14:paraId="7652B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77" w:type="dxa"/>
            <w:tcBorders>
              <w:top w:val="single" w:color="auto" w:sz="4" w:space="0"/>
              <w:left w:val="single" w:color="auto" w:sz="4" w:space="0"/>
              <w:bottom w:val="single" w:color="auto" w:sz="4" w:space="0"/>
              <w:right w:val="single" w:color="auto" w:sz="4" w:space="0"/>
            </w:tcBorders>
            <w:vAlign w:val="center"/>
          </w:tcPr>
          <w:p w14:paraId="525C835A">
            <w:pPr>
              <w:widowControl/>
              <w:jc w:val="center"/>
              <w:rPr>
                <w:rFonts w:hint="default" w:ascii="宋体" w:hAnsi="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32</w:t>
            </w:r>
          </w:p>
        </w:tc>
        <w:tc>
          <w:tcPr>
            <w:tcW w:w="567" w:type="dxa"/>
            <w:vMerge w:val="continue"/>
            <w:tcBorders>
              <w:left w:val="single" w:color="auto" w:sz="4" w:space="0"/>
              <w:bottom w:val="single" w:color="auto" w:sz="4" w:space="0"/>
              <w:right w:val="single" w:color="auto" w:sz="4" w:space="0"/>
            </w:tcBorders>
            <w:vAlign w:val="center"/>
          </w:tcPr>
          <w:p w14:paraId="379EBB2B">
            <w:pPr>
              <w:widowControl/>
              <w:adjustRightInd/>
              <w:spacing w:line="240" w:lineRule="auto"/>
              <w:jc w:val="left"/>
              <w:rPr>
                <w:rFonts w:ascii="宋体" w:hAnsi="宋体"/>
                <w:color w:val="000000" w:themeColor="text1"/>
                <w:kern w:val="0"/>
                <w:sz w:val="18"/>
                <w:szCs w:val="18"/>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14:paraId="2F08FD02">
            <w:pPr>
              <w:jc w:val="center"/>
              <w:rPr>
                <w:rFonts w:hint="eastAsia" w:ascii="宋体" w:hAnsi="宋体" w:eastAsia="宋体" w:cstheme="minorBidi"/>
                <w:color w:val="000000" w:themeColor="text1"/>
                <w:kern w:val="2"/>
                <w:sz w:val="18"/>
                <w:szCs w:val="18"/>
                <w:lang w:val="en-US" w:eastAsia="zh-CN" w:bidi="ar-SA"/>
              </w:rPr>
            </w:pPr>
            <w:r>
              <w:rPr>
                <w:rFonts w:hint="eastAsia" w:ascii="宋体" w:hAnsi="宋体"/>
                <w:color w:val="000000" w:themeColor="text1"/>
                <w:sz w:val="18"/>
                <w:szCs w:val="18"/>
                <w:lang w:val="en-US" w:eastAsia="zh-CN"/>
              </w:rPr>
              <w:t>爬升液压系统</w:t>
            </w:r>
          </w:p>
        </w:tc>
        <w:tc>
          <w:tcPr>
            <w:tcW w:w="4099" w:type="dxa"/>
            <w:tcBorders>
              <w:top w:val="single" w:color="auto" w:sz="4" w:space="0"/>
              <w:left w:val="single" w:color="auto" w:sz="4" w:space="0"/>
              <w:bottom w:val="single" w:color="auto" w:sz="4" w:space="0"/>
              <w:right w:val="single" w:color="auto" w:sz="4" w:space="0"/>
            </w:tcBorders>
            <w:shd w:val="clear" w:color="auto" w:fill="auto"/>
            <w:vAlign w:val="center"/>
          </w:tcPr>
          <w:p w14:paraId="39FA4F6B">
            <w:pPr>
              <w:numPr>
                <w:ilvl w:val="0"/>
                <w:numId w:val="42"/>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安全阀固定螺栓松动，有漏油</w:t>
            </w:r>
          </w:p>
          <w:p w14:paraId="7CC4F5D9">
            <w:pPr>
              <w:numPr>
                <w:ilvl w:val="0"/>
                <w:numId w:val="42"/>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泵站内液压油不足、变质</w:t>
            </w:r>
          </w:p>
          <w:p w14:paraId="43AC2EB6">
            <w:pPr>
              <w:numPr>
                <w:ilvl w:val="0"/>
                <w:numId w:val="42"/>
              </w:numPr>
              <w:rPr>
                <w:rFonts w:hint="eastAsia" w:ascii="宋体" w:hAnsi="宋体" w:eastAsiaTheme="minorEastAsia" w:cstheme="minorBidi"/>
                <w:color w:val="000000" w:themeColor="text1"/>
                <w:kern w:val="2"/>
                <w:sz w:val="18"/>
                <w:szCs w:val="18"/>
                <w:lang w:val="en-US" w:eastAsia="zh-CN" w:bidi="ar-SA"/>
              </w:rPr>
            </w:pPr>
            <w:r>
              <w:rPr>
                <w:rFonts w:hint="eastAsia" w:ascii="宋体" w:hAnsi="宋体"/>
                <w:color w:val="000000" w:themeColor="text1"/>
                <w:sz w:val="18"/>
                <w:szCs w:val="18"/>
                <w:lang w:val="en-US" w:eastAsia="zh-CN"/>
              </w:rPr>
              <w:t>液压系统内有空气</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2DAB2F6C">
            <w:pPr>
              <w:pStyle w:val="236"/>
              <w:spacing w:before="6" w:beforeAutospacing="0"/>
              <w:ind w:left="27" w:leftChars="0" w:right="118" w:rightChars="0"/>
              <w:rPr>
                <w:rFonts w:hint="eastAsia" w:ascii="宋体" w:hAnsi="宋体" w:eastAsia="宋体" w:cs="Times New Roman"/>
                <w:color w:val="000000" w:themeColor="text1"/>
                <w:kern w:val="2"/>
                <w:sz w:val="18"/>
                <w:szCs w:val="18"/>
                <w:lang w:val="en-US" w:eastAsia="zh-CN" w:bidi="ar-SA"/>
              </w:rPr>
            </w:pPr>
            <w:r>
              <w:rPr>
                <w:rFonts w:hint="eastAsia" w:cs="Times New Roman"/>
                <w:color w:val="000000" w:themeColor="text1"/>
                <w:sz w:val="18"/>
                <w:szCs w:val="18"/>
                <w:lang w:val="en-US" w:eastAsia="zh-CN"/>
              </w:rPr>
              <w:t>坠落、倾倒</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14:paraId="24CF51D8">
            <w:pPr>
              <w:numPr>
                <w:ilvl w:val="0"/>
                <w:numId w:val="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爬升前应检查安全阀确保其固定可靠，无漏油；检查液压油确保其油量充足未变质，油缸空载运行2～3个全行程，排除液压系统内部空气</w:t>
            </w:r>
          </w:p>
          <w:p w14:paraId="6468AE8B">
            <w:pPr>
              <w:spacing w:line="320" w:lineRule="exact"/>
              <w:rPr>
                <w:rFonts w:hint="default" w:ascii="宋体" w:hAnsi="宋体" w:eastAsia="宋体" w:cstheme="minorBidi"/>
                <w:color w:val="000000" w:themeColor="text1"/>
                <w:kern w:val="2"/>
                <w:sz w:val="18"/>
                <w:szCs w:val="18"/>
                <w:lang w:val="en-US" w:eastAsia="zh-CN" w:bidi="ar-SA"/>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7E37FAAD">
            <w:pPr>
              <w:jc w:val="center"/>
              <w:rPr>
                <w:rFonts w:hint="eastAsia" w:ascii="宋体" w:hAnsi="宋体" w:eastAsiaTheme="minorEastAsia" w:cstheme="minorBidi"/>
                <w:color w:val="000000" w:themeColor="text1"/>
                <w:kern w:val="2"/>
                <w:sz w:val="18"/>
                <w:szCs w:val="18"/>
                <w:lang w:val="en-US" w:eastAsia="zh-CN" w:bidi="ar-SA"/>
              </w:rPr>
            </w:pPr>
            <w:r>
              <w:rPr>
                <w:rFonts w:ascii="宋体" w:hAnsi="宋体"/>
                <w:color w:val="000000" w:themeColor="text1"/>
                <w:sz w:val="18"/>
                <w:szCs w:val="18"/>
              </w:rPr>
              <w:t>5</w:t>
            </w:r>
          </w:p>
        </w:tc>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015A5480">
            <w:pPr>
              <w:jc w:val="center"/>
              <w:rPr>
                <w:rFonts w:hint="eastAsia" w:ascii="宋体" w:hAnsi="宋体" w:eastAsiaTheme="minorEastAsia" w:cstheme="minorBidi"/>
                <w:color w:val="000000" w:themeColor="text1"/>
                <w:kern w:val="2"/>
                <w:sz w:val="18"/>
                <w:szCs w:val="18"/>
                <w:lang w:val="en-US" w:eastAsia="zh-CN" w:bidi="ar-SA"/>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34A9381F">
            <w:pPr>
              <w:jc w:val="center"/>
              <w:rPr>
                <w:rFonts w:hint="eastAsia" w:ascii="宋体" w:hAnsi="宋体" w:eastAsiaTheme="minorEastAsia" w:cstheme="minorBidi"/>
                <w:color w:val="000000" w:themeColor="text1"/>
                <w:kern w:val="2"/>
                <w:sz w:val="18"/>
                <w:szCs w:val="18"/>
                <w:lang w:val="en-US" w:eastAsia="zh-CN" w:bidi="ar-SA"/>
              </w:rPr>
            </w:pPr>
            <w:r>
              <w:rPr>
                <w:rFonts w:ascii="宋体" w:hAnsi="宋体"/>
                <w:color w:val="000000" w:themeColor="text1"/>
                <w:sz w:val="18"/>
                <w:szCs w:val="18"/>
              </w:rPr>
              <w:t>15</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14:paraId="101C1261">
            <w:pPr>
              <w:jc w:val="center"/>
              <w:rPr>
                <w:rFonts w:hint="eastAsia" w:ascii="宋体" w:hAnsi="宋体" w:eastAsiaTheme="minorEastAsia" w:cstheme="minorBidi"/>
                <w:color w:val="000000" w:themeColor="text1"/>
                <w:kern w:val="2"/>
                <w:sz w:val="18"/>
                <w:szCs w:val="18"/>
                <w:lang w:val="en-US" w:eastAsia="zh-CN" w:bidi="ar-SA"/>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0B7BE01">
            <w:pPr>
              <w:jc w:val="center"/>
              <w:rPr>
                <w:rFonts w:hint="eastAsia" w:ascii="宋体" w:hAnsi="宋体" w:eastAsiaTheme="minorEastAsia" w:cstheme="minorBidi"/>
                <w:color w:val="000000" w:themeColor="text1"/>
                <w:kern w:val="2"/>
                <w:sz w:val="18"/>
                <w:szCs w:val="18"/>
                <w:lang w:val="en-US" w:eastAsia="zh-CN" w:bidi="ar-SA"/>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auto"/>
            <w:vAlign w:val="top"/>
          </w:tcPr>
          <w:p w14:paraId="029B88A1">
            <w:pPr>
              <w:widowControl/>
              <w:spacing w:line="240" w:lineRule="auto"/>
              <w:jc w:val="center"/>
              <w:rPr>
                <w:rFonts w:hint="default" w:ascii="宋体" w:hAnsi="宋体" w:eastAsiaTheme="minorEastAsia" w:cstheme="minorBidi"/>
                <w:color w:val="000000" w:themeColor="text1"/>
                <w:kern w:val="0"/>
                <w:sz w:val="18"/>
                <w:szCs w:val="18"/>
                <w:lang w:val="en-US" w:eastAsia="zh-CN" w:bidi="ar-SA"/>
              </w:rPr>
            </w:pPr>
          </w:p>
        </w:tc>
      </w:tr>
    </w:tbl>
    <w:p w14:paraId="1CC20D13">
      <w:pPr>
        <w:pStyle w:val="58"/>
        <w:ind w:left="0" w:leftChars="0" w:firstLine="0" w:firstLineChars="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2779C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681C9E1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4EF0B3E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3CB6633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6A21704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6AEE242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127ED11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0CED01C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3EABE76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0D9C2FD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0508513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144A9D7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2B6BB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11" w:hRule="atLeast"/>
        </w:trPr>
        <w:tc>
          <w:tcPr>
            <w:tcW w:w="577" w:type="dxa"/>
            <w:tcBorders>
              <w:top w:val="single" w:color="auto" w:sz="8" w:space="0"/>
              <w:left w:val="single" w:color="auto" w:sz="8" w:space="0"/>
              <w:bottom w:val="single" w:color="auto" w:sz="4" w:space="0"/>
              <w:right w:val="single" w:color="auto" w:sz="4" w:space="0"/>
            </w:tcBorders>
            <w:vAlign w:val="center"/>
          </w:tcPr>
          <w:p w14:paraId="7C6D1983">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3</w:t>
            </w:r>
          </w:p>
        </w:tc>
        <w:tc>
          <w:tcPr>
            <w:tcW w:w="567" w:type="dxa"/>
            <w:vMerge w:val="restart"/>
            <w:tcBorders>
              <w:top w:val="nil"/>
              <w:left w:val="single" w:color="auto" w:sz="4" w:space="0"/>
              <w:bottom w:val="single" w:color="auto" w:sz="4" w:space="0"/>
              <w:right w:val="single" w:color="auto" w:sz="4" w:space="0"/>
            </w:tcBorders>
            <w:vAlign w:val="center"/>
          </w:tcPr>
          <w:p w14:paraId="56EA76D0">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2F846C0D">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64C6F82A">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吊钩</w:t>
            </w:r>
          </w:p>
        </w:tc>
        <w:tc>
          <w:tcPr>
            <w:tcW w:w="4385" w:type="dxa"/>
            <w:tcBorders>
              <w:top w:val="single" w:color="auto" w:sz="8" w:space="0"/>
              <w:left w:val="single" w:color="auto" w:sz="4" w:space="0"/>
              <w:bottom w:val="single" w:color="auto" w:sz="4" w:space="0"/>
              <w:right w:val="single" w:color="auto" w:sz="4" w:space="0"/>
            </w:tcBorders>
            <w:vAlign w:val="center"/>
          </w:tcPr>
          <w:p w14:paraId="3400E338">
            <w:pPr>
              <w:numPr>
                <w:ilvl w:val="0"/>
                <w:numId w:val="43"/>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吊钩表面有裂纹</w:t>
            </w:r>
          </w:p>
          <w:p w14:paraId="71B1960B">
            <w:pPr>
              <w:numPr>
                <w:ilvl w:val="0"/>
                <w:numId w:val="4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钩尾和螺纹部分等危险断面及钩筋有永久性变形</w:t>
            </w:r>
          </w:p>
          <w:p w14:paraId="4693DDF5">
            <w:pPr>
              <w:numPr>
                <w:ilvl w:val="0"/>
                <w:numId w:val="4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挂绳处截面磨损量超过原高度的10％</w:t>
            </w:r>
          </w:p>
          <w:p w14:paraId="46CF1B49">
            <w:pPr>
              <w:numPr>
                <w:ilvl w:val="0"/>
                <w:numId w:val="4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心轴磨损量超过其直径的5％</w:t>
            </w:r>
          </w:p>
          <w:p w14:paraId="35FF196A">
            <w:pPr>
              <w:numPr>
                <w:ilvl w:val="0"/>
                <w:numId w:val="4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开口度比原尺寸增加15％</w:t>
            </w:r>
          </w:p>
          <w:p w14:paraId="2265BC18">
            <w:pPr>
              <w:numPr>
                <w:ilvl w:val="0"/>
                <w:numId w:val="43"/>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防脱钩装置缺失</w:t>
            </w:r>
          </w:p>
        </w:tc>
        <w:tc>
          <w:tcPr>
            <w:tcW w:w="1842" w:type="dxa"/>
            <w:tcBorders>
              <w:top w:val="single" w:color="auto" w:sz="8" w:space="0"/>
              <w:left w:val="single" w:color="auto" w:sz="4" w:space="0"/>
              <w:bottom w:val="single" w:color="auto" w:sz="4" w:space="0"/>
              <w:right w:val="single" w:color="auto" w:sz="4" w:space="0"/>
            </w:tcBorders>
            <w:vAlign w:val="center"/>
          </w:tcPr>
          <w:p w14:paraId="6F3E69A7">
            <w:pPr>
              <w:pStyle w:val="236"/>
              <w:spacing w:before="6" w:beforeAutospacing="0"/>
              <w:ind w:left="27" w:right="118"/>
              <w:rPr>
                <w:rFonts w:cs="Times New Roman"/>
                <w:color w:val="000000" w:themeColor="text1"/>
                <w:sz w:val="18"/>
                <w:szCs w:val="18"/>
              </w:rPr>
            </w:pPr>
            <w:r>
              <w:rPr>
                <w:rFonts w:hint="eastAsia" w:cs="Times New Roman"/>
                <w:color w:val="000000" w:themeColor="text1"/>
                <w:sz w:val="18"/>
                <w:szCs w:val="18"/>
                <w:lang w:val="en-US" w:eastAsia="zh-CN"/>
              </w:rPr>
              <w:t>坠落</w:t>
            </w:r>
          </w:p>
        </w:tc>
        <w:tc>
          <w:tcPr>
            <w:tcW w:w="3544" w:type="dxa"/>
            <w:tcBorders>
              <w:top w:val="single" w:color="auto" w:sz="8" w:space="0"/>
              <w:left w:val="single" w:color="auto" w:sz="4" w:space="0"/>
              <w:bottom w:val="single" w:color="auto" w:sz="4" w:space="0"/>
              <w:right w:val="single" w:color="auto" w:sz="4" w:space="0"/>
            </w:tcBorders>
            <w:vAlign w:val="center"/>
          </w:tcPr>
          <w:p w14:paraId="4176888C">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定期检查吊钩情况，对吊钩达到标准的应及时更换，每天检查吊钩防脱装置，缺失时应及时安装齐全</w:t>
            </w:r>
          </w:p>
        </w:tc>
        <w:tc>
          <w:tcPr>
            <w:tcW w:w="425" w:type="dxa"/>
            <w:tcBorders>
              <w:top w:val="single" w:color="auto" w:sz="8" w:space="0"/>
              <w:left w:val="single" w:color="auto" w:sz="4" w:space="0"/>
              <w:bottom w:val="single" w:color="auto" w:sz="4" w:space="0"/>
              <w:right w:val="single" w:color="auto" w:sz="4" w:space="0"/>
            </w:tcBorders>
            <w:vAlign w:val="center"/>
          </w:tcPr>
          <w:p w14:paraId="1F84B3EB">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tcBorders>
              <w:top w:val="single" w:color="auto" w:sz="8" w:space="0"/>
              <w:left w:val="single" w:color="auto" w:sz="4" w:space="0"/>
              <w:bottom w:val="single" w:color="auto" w:sz="4" w:space="0"/>
              <w:right w:val="single" w:color="auto" w:sz="4" w:space="0"/>
            </w:tcBorders>
            <w:vAlign w:val="center"/>
          </w:tcPr>
          <w:p w14:paraId="72F22DD5">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8" w:space="0"/>
              <w:left w:val="single" w:color="auto" w:sz="4" w:space="0"/>
              <w:bottom w:val="single" w:color="auto" w:sz="4" w:space="0"/>
              <w:right w:val="single" w:color="auto" w:sz="4" w:space="0"/>
            </w:tcBorders>
            <w:vAlign w:val="center"/>
          </w:tcPr>
          <w:p w14:paraId="27DBAA90">
            <w:pPr>
              <w:jc w:val="center"/>
              <w:rPr>
                <w:rFonts w:ascii="宋体" w:hAnsi="宋体"/>
                <w:color w:val="000000" w:themeColor="text1"/>
                <w:sz w:val="18"/>
                <w:szCs w:val="18"/>
              </w:rPr>
            </w:pPr>
            <w:r>
              <w:rPr>
                <w:rFonts w:ascii="宋体" w:hAnsi="宋体"/>
                <w:color w:val="000000" w:themeColor="text1"/>
                <w:sz w:val="18"/>
                <w:szCs w:val="18"/>
              </w:rPr>
              <w:t>15</w:t>
            </w:r>
          </w:p>
        </w:tc>
        <w:tc>
          <w:tcPr>
            <w:tcW w:w="425" w:type="dxa"/>
            <w:tcBorders>
              <w:top w:val="single" w:color="auto" w:sz="8" w:space="0"/>
              <w:left w:val="single" w:color="auto" w:sz="4" w:space="0"/>
              <w:bottom w:val="single" w:color="auto" w:sz="4" w:space="0"/>
              <w:right w:val="single" w:color="auto" w:sz="4" w:space="0"/>
            </w:tcBorders>
            <w:vAlign w:val="center"/>
          </w:tcPr>
          <w:p w14:paraId="00A98174">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260F8849">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eastAsia="zh-CN"/>
              </w:rPr>
              <w:t>橙</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05E45A8D">
            <w:pPr>
              <w:widowControl/>
              <w:jc w:val="center"/>
              <w:rPr>
                <w:rFonts w:ascii="宋体" w:hAnsi="宋体"/>
                <w:color w:val="000000" w:themeColor="text1"/>
                <w:kern w:val="0"/>
                <w:sz w:val="18"/>
                <w:szCs w:val="18"/>
              </w:rPr>
            </w:pPr>
          </w:p>
        </w:tc>
      </w:tr>
      <w:tr w14:paraId="67D42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98" w:hRule="atLeast"/>
        </w:trPr>
        <w:tc>
          <w:tcPr>
            <w:tcW w:w="577" w:type="dxa"/>
            <w:tcBorders>
              <w:top w:val="single" w:color="auto" w:sz="4" w:space="0"/>
              <w:left w:val="single" w:color="auto" w:sz="8" w:space="0"/>
              <w:bottom w:val="single" w:color="auto" w:sz="4" w:space="0"/>
              <w:right w:val="single" w:color="auto" w:sz="4" w:space="0"/>
            </w:tcBorders>
            <w:vAlign w:val="center"/>
          </w:tcPr>
          <w:p w14:paraId="7141B7E7">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4</w:t>
            </w:r>
          </w:p>
        </w:tc>
        <w:tc>
          <w:tcPr>
            <w:tcW w:w="0" w:type="auto"/>
            <w:vMerge w:val="continue"/>
            <w:tcBorders>
              <w:top w:val="nil"/>
              <w:left w:val="single" w:color="auto" w:sz="4" w:space="0"/>
              <w:bottom w:val="single" w:color="auto" w:sz="4" w:space="0"/>
              <w:right w:val="single" w:color="auto" w:sz="4" w:space="0"/>
            </w:tcBorders>
            <w:vAlign w:val="center"/>
          </w:tcPr>
          <w:p w14:paraId="45CEB069">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DEA9744">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小车</w:t>
            </w:r>
          </w:p>
        </w:tc>
        <w:tc>
          <w:tcPr>
            <w:tcW w:w="4385" w:type="dxa"/>
            <w:tcBorders>
              <w:top w:val="single" w:color="auto" w:sz="4" w:space="0"/>
              <w:left w:val="single" w:color="auto" w:sz="4" w:space="0"/>
              <w:bottom w:val="single" w:color="auto" w:sz="4" w:space="0"/>
              <w:right w:val="single" w:color="auto" w:sz="4" w:space="0"/>
            </w:tcBorders>
            <w:vAlign w:val="center"/>
          </w:tcPr>
          <w:p w14:paraId="345DF2CA">
            <w:pPr>
              <w:numPr>
                <w:ilvl w:val="0"/>
                <w:numId w:val="44"/>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小车承载结构塑性变形</w:t>
            </w:r>
          </w:p>
          <w:p w14:paraId="2E5685EF">
            <w:pPr>
              <w:numPr>
                <w:ilvl w:val="0"/>
                <w:numId w:val="44"/>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钢丝绳防脱槽装置缺失</w:t>
            </w:r>
          </w:p>
          <w:p w14:paraId="22FA5698">
            <w:pPr>
              <w:numPr>
                <w:ilvl w:val="0"/>
                <w:numId w:val="44"/>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小车防断绳保护装置失效或卡阻</w:t>
            </w:r>
          </w:p>
          <w:p w14:paraId="43286051">
            <w:pPr>
              <w:numPr>
                <w:ilvl w:val="0"/>
                <w:numId w:val="44"/>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小车防坠落保护装置缺失或失效</w:t>
            </w:r>
          </w:p>
        </w:tc>
        <w:tc>
          <w:tcPr>
            <w:tcW w:w="1842" w:type="dxa"/>
            <w:tcBorders>
              <w:top w:val="single" w:color="auto" w:sz="4" w:space="0"/>
              <w:left w:val="single" w:color="auto" w:sz="4" w:space="0"/>
              <w:bottom w:val="single" w:color="auto" w:sz="4" w:space="0"/>
              <w:right w:val="single" w:color="auto" w:sz="4" w:space="0"/>
            </w:tcBorders>
            <w:vAlign w:val="center"/>
          </w:tcPr>
          <w:p w14:paraId="15EAD228">
            <w:pPr>
              <w:pStyle w:val="236"/>
              <w:spacing w:before="6" w:beforeAutospacing="0"/>
              <w:ind w:right="118"/>
              <w:rPr>
                <w:rFonts w:cs="Times New Roman"/>
                <w:color w:val="000000" w:themeColor="text1"/>
                <w:sz w:val="18"/>
                <w:szCs w:val="18"/>
              </w:rPr>
            </w:pPr>
            <w:r>
              <w:rPr>
                <w:rFonts w:hint="eastAsia" w:cs="Times New Roman"/>
                <w:color w:val="000000" w:themeColor="text1"/>
                <w:sz w:val="18"/>
                <w:szCs w:val="18"/>
              </w:rPr>
              <w:t>坠落</w:t>
            </w:r>
          </w:p>
        </w:tc>
        <w:tc>
          <w:tcPr>
            <w:tcW w:w="3544" w:type="dxa"/>
            <w:tcBorders>
              <w:top w:val="single" w:color="auto" w:sz="4" w:space="0"/>
              <w:left w:val="single" w:color="auto" w:sz="4" w:space="0"/>
              <w:bottom w:val="single" w:color="auto" w:sz="4" w:space="0"/>
              <w:right w:val="single" w:color="auto" w:sz="4" w:space="0"/>
            </w:tcBorders>
            <w:vAlign w:val="center"/>
          </w:tcPr>
          <w:p w14:paraId="54CB3433">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定期检查小车金属结构、钢丝绳防脱槽装置、小车防断绳保护装置、小车防坠落装置，发现异常情况及时更换或维修</w:t>
            </w:r>
          </w:p>
        </w:tc>
        <w:tc>
          <w:tcPr>
            <w:tcW w:w="425" w:type="dxa"/>
            <w:tcBorders>
              <w:top w:val="single" w:color="auto" w:sz="4" w:space="0"/>
              <w:left w:val="single" w:color="auto" w:sz="4" w:space="0"/>
              <w:bottom w:val="single" w:color="auto" w:sz="4" w:space="0"/>
              <w:right w:val="single" w:color="auto" w:sz="4" w:space="0"/>
            </w:tcBorders>
            <w:vAlign w:val="center"/>
          </w:tcPr>
          <w:p w14:paraId="2AECB36A">
            <w:pPr>
              <w:jc w:val="center"/>
              <w:rPr>
                <w:rFonts w:ascii="宋体" w:hAnsi="宋体"/>
                <w:color w:val="000000" w:themeColor="text1"/>
                <w:sz w:val="18"/>
                <w:szCs w:val="18"/>
              </w:rPr>
            </w:pPr>
            <w:r>
              <w:rPr>
                <w:rFonts w:ascii="宋体" w:hAnsi="宋体"/>
                <w:color w:val="000000" w:themeColor="text1"/>
                <w:sz w:val="18"/>
                <w:szCs w:val="18"/>
              </w:rPr>
              <w:t>4</w:t>
            </w:r>
          </w:p>
        </w:tc>
        <w:tc>
          <w:tcPr>
            <w:tcW w:w="426" w:type="dxa"/>
            <w:tcBorders>
              <w:top w:val="single" w:color="auto" w:sz="4" w:space="0"/>
              <w:left w:val="single" w:color="auto" w:sz="4" w:space="0"/>
              <w:bottom w:val="single" w:color="auto" w:sz="4" w:space="0"/>
              <w:right w:val="single" w:color="auto" w:sz="4" w:space="0"/>
            </w:tcBorders>
            <w:vAlign w:val="center"/>
          </w:tcPr>
          <w:p w14:paraId="0743B77B">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14:paraId="534B583A">
            <w:pPr>
              <w:jc w:val="center"/>
              <w:rPr>
                <w:rFonts w:ascii="宋体" w:hAnsi="宋体"/>
                <w:color w:val="000000" w:themeColor="text1"/>
                <w:sz w:val="18"/>
                <w:szCs w:val="18"/>
              </w:rPr>
            </w:pPr>
            <w:r>
              <w:rPr>
                <w:rFonts w:ascii="宋体" w:hAnsi="宋体"/>
                <w:color w:val="000000" w:themeColor="text1"/>
                <w:sz w:val="18"/>
                <w:szCs w:val="18"/>
              </w:rPr>
              <w:t>16</w:t>
            </w:r>
          </w:p>
        </w:tc>
        <w:tc>
          <w:tcPr>
            <w:tcW w:w="425" w:type="dxa"/>
            <w:tcBorders>
              <w:top w:val="single" w:color="auto" w:sz="4" w:space="0"/>
              <w:left w:val="single" w:color="auto" w:sz="4" w:space="0"/>
              <w:bottom w:val="single" w:color="auto" w:sz="4" w:space="0"/>
              <w:right w:val="single" w:color="auto" w:sz="4" w:space="0"/>
            </w:tcBorders>
            <w:vAlign w:val="center"/>
          </w:tcPr>
          <w:p w14:paraId="480F56C2">
            <w:pPr>
              <w:jc w:val="center"/>
              <w:rPr>
                <w:rFonts w:ascii="宋体" w:hAnsi="宋体"/>
                <w:color w:val="000000" w:themeColor="text1"/>
                <w:sz w:val="18"/>
                <w:szCs w:val="18"/>
              </w:rPr>
            </w:pPr>
            <w:r>
              <w:rPr>
                <w:rFonts w:ascii="宋体" w:hAnsi="宋体"/>
                <w:color w:val="000000" w:themeColor="text1"/>
                <w:sz w:val="18"/>
                <w:szCs w:val="18"/>
              </w:rPr>
              <w:t>2</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FDD49E7">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2FFEAE9C">
            <w:pPr>
              <w:widowControl/>
              <w:jc w:val="center"/>
              <w:rPr>
                <w:rFonts w:ascii="宋体" w:hAnsi="宋体"/>
                <w:color w:val="000000" w:themeColor="text1"/>
                <w:kern w:val="0"/>
                <w:sz w:val="18"/>
                <w:szCs w:val="18"/>
              </w:rPr>
            </w:pPr>
          </w:p>
        </w:tc>
      </w:tr>
      <w:tr w14:paraId="15D12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50" w:hRule="atLeast"/>
        </w:trPr>
        <w:tc>
          <w:tcPr>
            <w:tcW w:w="577" w:type="dxa"/>
            <w:tcBorders>
              <w:top w:val="single" w:color="auto" w:sz="4" w:space="0"/>
              <w:left w:val="single" w:color="auto" w:sz="8" w:space="0"/>
              <w:bottom w:val="single" w:color="auto" w:sz="8" w:space="0"/>
              <w:right w:val="single" w:color="auto" w:sz="4" w:space="0"/>
            </w:tcBorders>
            <w:vAlign w:val="center"/>
          </w:tcPr>
          <w:p w14:paraId="00064E04">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5</w:t>
            </w:r>
          </w:p>
        </w:tc>
        <w:tc>
          <w:tcPr>
            <w:tcW w:w="0" w:type="auto"/>
            <w:vMerge w:val="continue"/>
            <w:tcBorders>
              <w:top w:val="nil"/>
              <w:left w:val="single" w:color="auto" w:sz="4" w:space="0"/>
              <w:bottom w:val="single" w:color="auto" w:sz="4" w:space="0"/>
              <w:right w:val="single" w:color="auto" w:sz="4" w:space="0"/>
            </w:tcBorders>
            <w:vAlign w:val="center"/>
          </w:tcPr>
          <w:p w14:paraId="251B61C9">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6953C866">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钢丝绳</w:t>
            </w:r>
          </w:p>
        </w:tc>
        <w:tc>
          <w:tcPr>
            <w:tcW w:w="4385" w:type="dxa"/>
            <w:tcBorders>
              <w:top w:val="single" w:color="auto" w:sz="4" w:space="0"/>
              <w:left w:val="single" w:color="auto" w:sz="4" w:space="0"/>
              <w:bottom w:val="single" w:color="auto" w:sz="8" w:space="0"/>
              <w:right w:val="single" w:color="auto" w:sz="4" w:space="0"/>
            </w:tcBorders>
            <w:vAlign w:val="center"/>
          </w:tcPr>
          <w:p w14:paraId="4E792318">
            <w:pPr>
              <w:numPr>
                <w:ilvl w:val="0"/>
                <w:numId w:val="45"/>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钢丝绳未按规定进行维护保养，达到GB/T5972报废规定</w:t>
            </w:r>
          </w:p>
          <w:p w14:paraId="3423F6C2">
            <w:pPr>
              <w:numPr>
                <w:ilvl w:val="0"/>
                <w:numId w:val="45"/>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钢丝绳绳端固定不可靠</w:t>
            </w:r>
          </w:p>
          <w:p w14:paraId="5503808F">
            <w:pPr>
              <w:numPr>
                <w:ilvl w:val="0"/>
                <w:numId w:val="45"/>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吊钩最低位时安全圈数不符合GB/T5031规定</w:t>
            </w:r>
          </w:p>
          <w:p w14:paraId="50ADFD5C">
            <w:pPr>
              <w:numPr>
                <w:ilvl w:val="0"/>
                <w:numId w:val="0"/>
              </w:numPr>
              <w:rPr>
                <w:rFonts w:hint="default" w:ascii="宋体" w:hAnsi="宋体"/>
                <w:color w:val="000000" w:themeColor="text1"/>
                <w:sz w:val="18"/>
                <w:szCs w:val="18"/>
                <w:lang w:val="en-US" w:eastAsia="zh-CN"/>
              </w:rPr>
            </w:pPr>
          </w:p>
        </w:tc>
        <w:tc>
          <w:tcPr>
            <w:tcW w:w="1842" w:type="dxa"/>
            <w:tcBorders>
              <w:top w:val="single" w:color="auto" w:sz="4" w:space="0"/>
              <w:left w:val="single" w:color="auto" w:sz="4" w:space="0"/>
              <w:bottom w:val="single" w:color="auto" w:sz="8" w:space="0"/>
              <w:right w:val="single" w:color="auto" w:sz="4" w:space="0"/>
            </w:tcBorders>
            <w:vAlign w:val="center"/>
          </w:tcPr>
          <w:p w14:paraId="6BD0F31F">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坠落、倾倒</w:t>
            </w:r>
          </w:p>
        </w:tc>
        <w:tc>
          <w:tcPr>
            <w:tcW w:w="3544" w:type="dxa"/>
            <w:tcBorders>
              <w:top w:val="single" w:color="auto" w:sz="4" w:space="0"/>
              <w:left w:val="single" w:color="auto" w:sz="4" w:space="0"/>
              <w:bottom w:val="single" w:color="auto" w:sz="8" w:space="0"/>
              <w:right w:val="single" w:color="auto" w:sz="4" w:space="0"/>
            </w:tcBorders>
            <w:vAlign w:val="center"/>
          </w:tcPr>
          <w:p w14:paraId="1F31066F">
            <w:pPr>
              <w:numPr>
                <w:ilvl w:val="0"/>
                <w:numId w:val="0"/>
              </w:numPr>
              <w:rPr>
                <w:rFonts w:hint="default" w:ascii="宋体" w:hAnsi="宋体"/>
                <w:color w:val="000000" w:themeColor="text1"/>
                <w:sz w:val="18"/>
                <w:szCs w:val="18"/>
                <w:lang w:val="en-US" w:eastAsia="zh-CN"/>
              </w:rPr>
            </w:pPr>
            <w:r>
              <w:rPr>
                <w:rFonts w:hint="eastAsia" w:cs="Times New Roman"/>
                <w:color w:val="000000" w:themeColor="text1"/>
                <w:sz w:val="18"/>
                <w:szCs w:val="18"/>
                <w:lang w:val="en-US" w:eastAsia="zh-CN"/>
              </w:rPr>
              <w:t>钢丝绳应按规定进行日常维护保养，对</w:t>
            </w:r>
            <w:r>
              <w:rPr>
                <w:rFonts w:hint="eastAsia" w:ascii="宋体" w:hAnsi="宋体"/>
                <w:color w:val="000000" w:themeColor="text1"/>
                <w:sz w:val="18"/>
                <w:szCs w:val="18"/>
                <w:lang w:val="en-US" w:eastAsia="zh-CN"/>
              </w:rPr>
              <w:t>达到GB/T5972报废规定的钢丝绳应及时更换；安装时钢丝绳绳端应固定可靠，爬升后吊钩最低位时安全圈数应符合GB/T5031规定，安全圈数不足时应及时更换足够长的钢丝绳</w:t>
            </w:r>
          </w:p>
          <w:p w14:paraId="0FDEBD0E">
            <w:pPr>
              <w:pStyle w:val="236"/>
              <w:spacing w:before="6" w:beforeAutospacing="0"/>
              <w:ind w:right="118"/>
              <w:rPr>
                <w:rFonts w:hint="default" w:eastAsia="宋体" w:cs="Times New Roman"/>
                <w:color w:val="000000" w:themeColor="text1"/>
                <w:sz w:val="18"/>
                <w:szCs w:val="18"/>
                <w:lang w:val="en-US" w:eastAsia="zh-CN"/>
              </w:rPr>
            </w:pPr>
          </w:p>
        </w:tc>
        <w:tc>
          <w:tcPr>
            <w:tcW w:w="425" w:type="dxa"/>
            <w:tcBorders>
              <w:top w:val="single" w:color="auto" w:sz="4" w:space="0"/>
              <w:left w:val="single" w:color="auto" w:sz="4" w:space="0"/>
              <w:bottom w:val="single" w:color="auto" w:sz="8" w:space="0"/>
              <w:right w:val="single" w:color="auto" w:sz="4" w:space="0"/>
            </w:tcBorders>
            <w:vAlign w:val="center"/>
          </w:tcPr>
          <w:p w14:paraId="62D21E43">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3</w:t>
            </w:r>
          </w:p>
        </w:tc>
        <w:tc>
          <w:tcPr>
            <w:tcW w:w="426" w:type="dxa"/>
            <w:tcBorders>
              <w:top w:val="single" w:color="auto" w:sz="4" w:space="0"/>
              <w:left w:val="single" w:color="auto" w:sz="4" w:space="0"/>
              <w:bottom w:val="single" w:color="auto" w:sz="8" w:space="0"/>
              <w:right w:val="single" w:color="auto" w:sz="4" w:space="0"/>
            </w:tcBorders>
            <w:vAlign w:val="center"/>
          </w:tcPr>
          <w:p w14:paraId="7D1358A8">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8" w:space="0"/>
              <w:right w:val="single" w:color="auto" w:sz="4" w:space="0"/>
            </w:tcBorders>
            <w:vAlign w:val="center"/>
          </w:tcPr>
          <w:p w14:paraId="0A5C61CD">
            <w:pPr>
              <w:jc w:val="center"/>
              <w:rPr>
                <w:rFonts w:hint="eastAsia" w:ascii="宋体" w:hAnsi="宋体" w:eastAsia="宋体"/>
                <w:color w:val="000000" w:themeColor="text1"/>
                <w:sz w:val="18"/>
                <w:szCs w:val="18"/>
                <w:lang w:eastAsia="zh-CN"/>
              </w:rPr>
            </w:pPr>
            <w:r>
              <w:rPr>
                <w:rFonts w:ascii="宋体" w:hAnsi="宋体"/>
                <w:color w:val="000000" w:themeColor="text1"/>
                <w:sz w:val="18"/>
                <w:szCs w:val="18"/>
              </w:rPr>
              <w:t>1</w:t>
            </w: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8" w:space="0"/>
              <w:right w:val="single" w:color="auto" w:sz="4" w:space="0"/>
            </w:tcBorders>
            <w:vAlign w:val="center"/>
          </w:tcPr>
          <w:p w14:paraId="22F8EB84">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9D4FE0D">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eastAsia="zh-CN"/>
              </w:rPr>
              <w:t>橙</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70F944DC">
            <w:pPr>
              <w:widowControl/>
              <w:jc w:val="center"/>
              <w:rPr>
                <w:rFonts w:ascii="宋体" w:hAnsi="宋体"/>
                <w:color w:val="000000" w:themeColor="text1"/>
                <w:kern w:val="0"/>
                <w:sz w:val="18"/>
                <w:szCs w:val="18"/>
              </w:rPr>
            </w:pPr>
          </w:p>
        </w:tc>
      </w:tr>
    </w:tbl>
    <w:p w14:paraId="12174C8F">
      <w:pPr>
        <w:pStyle w:val="58"/>
        <w:ind w:left="0" w:leftChars="0" w:firstLine="0" w:firstLineChars="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35B51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58B707F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0435C81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07AAB3B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7AB7B96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1777D80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2C3DAAA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6ABDA29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136AA64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45C9AF3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32F4564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5AE4100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71474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84" w:hRule="atLeast"/>
        </w:trPr>
        <w:tc>
          <w:tcPr>
            <w:tcW w:w="577" w:type="dxa"/>
            <w:tcBorders>
              <w:top w:val="single" w:color="auto" w:sz="8" w:space="0"/>
              <w:left w:val="single" w:color="auto" w:sz="8" w:space="0"/>
              <w:bottom w:val="single" w:color="auto" w:sz="4" w:space="0"/>
              <w:right w:val="single" w:color="auto" w:sz="4" w:space="0"/>
            </w:tcBorders>
            <w:vAlign w:val="center"/>
          </w:tcPr>
          <w:p w14:paraId="5D2C696F">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6</w:t>
            </w:r>
          </w:p>
        </w:tc>
        <w:tc>
          <w:tcPr>
            <w:tcW w:w="567" w:type="dxa"/>
            <w:vMerge w:val="restart"/>
            <w:tcBorders>
              <w:top w:val="nil"/>
              <w:left w:val="single" w:color="auto" w:sz="4" w:space="0"/>
              <w:bottom w:val="single" w:color="auto" w:sz="4" w:space="0"/>
              <w:right w:val="single" w:color="auto" w:sz="4" w:space="0"/>
            </w:tcBorders>
            <w:vAlign w:val="center"/>
          </w:tcPr>
          <w:p w14:paraId="0B990676">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3DF1C140">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02624732">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滑轮与卷筒</w:t>
            </w:r>
          </w:p>
        </w:tc>
        <w:tc>
          <w:tcPr>
            <w:tcW w:w="4385" w:type="dxa"/>
            <w:tcBorders>
              <w:top w:val="single" w:color="auto" w:sz="8" w:space="0"/>
              <w:left w:val="single" w:color="auto" w:sz="4" w:space="0"/>
              <w:bottom w:val="single" w:color="auto" w:sz="4" w:space="0"/>
              <w:right w:val="single" w:color="auto" w:sz="4" w:space="0"/>
            </w:tcBorders>
            <w:vAlign w:val="center"/>
          </w:tcPr>
          <w:p w14:paraId="4EFC955C">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裂纹或轮缘破损</w:t>
            </w:r>
          </w:p>
          <w:p w14:paraId="2C3FD986">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卷筒壁磨损量达原壁厚10％</w:t>
            </w:r>
          </w:p>
          <w:p w14:paraId="1C478A4B">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滑轮轮槽壁磨损量达原壁厚的20％</w:t>
            </w:r>
          </w:p>
          <w:p w14:paraId="1D3CB83A">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滑轮槽底部磨损量超过相应钢丝绳直径的25%</w:t>
            </w:r>
          </w:p>
          <w:p w14:paraId="7B8AEF21">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钢丝绳防脱槽装置缺失</w:t>
            </w:r>
          </w:p>
          <w:p w14:paraId="5B3FE347">
            <w:pPr>
              <w:numPr>
                <w:ilvl w:val="0"/>
                <w:numId w:val="46"/>
              </w:numPr>
              <w:spacing w:line="240" w:lineRule="auto"/>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滑轮运作不灵活</w:t>
            </w:r>
          </w:p>
        </w:tc>
        <w:tc>
          <w:tcPr>
            <w:tcW w:w="1842" w:type="dxa"/>
            <w:tcBorders>
              <w:top w:val="single" w:color="auto" w:sz="8" w:space="0"/>
              <w:left w:val="single" w:color="auto" w:sz="4" w:space="0"/>
              <w:bottom w:val="single" w:color="auto" w:sz="4" w:space="0"/>
              <w:right w:val="single" w:color="auto" w:sz="4" w:space="0"/>
            </w:tcBorders>
            <w:vAlign w:val="center"/>
          </w:tcPr>
          <w:p w14:paraId="7226E6EA">
            <w:pPr>
              <w:pStyle w:val="236"/>
              <w:spacing w:before="6" w:beforeAutospacing="0"/>
              <w:ind w:left="27" w:right="118"/>
              <w:rPr>
                <w:rFonts w:cs="Times New Roman"/>
                <w:color w:val="000000" w:themeColor="text1"/>
                <w:sz w:val="18"/>
                <w:szCs w:val="18"/>
              </w:rPr>
            </w:pPr>
            <w:r>
              <w:rPr>
                <w:rFonts w:hint="eastAsia" w:cs="Times New Roman"/>
                <w:color w:val="000000" w:themeColor="text1"/>
                <w:sz w:val="18"/>
                <w:szCs w:val="18"/>
                <w:lang w:val="en-US" w:eastAsia="zh-CN"/>
              </w:rPr>
              <w:t>故障</w:t>
            </w:r>
            <w:r>
              <w:rPr>
                <w:rFonts w:hint="eastAsia" w:cs="Times New Roman"/>
                <w:color w:val="000000" w:themeColor="text1"/>
                <w:sz w:val="18"/>
                <w:szCs w:val="18"/>
              </w:rPr>
              <w:t>、</w:t>
            </w:r>
            <w:r>
              <w:rPr>
                <w:rFonts w:hint="eastAsia" w:cs="Times New Roman"/>
                <w:color w:val="000000" w:themeColor="text1"/>
                <w:sz w:val="18"/>
                <w:szCs w:val="18"/>
                <w:lang w:val="en-US" w:eastAsia="zh-CN"/>
              </w:rPr>
              <w:t>坠落</w:t>
            </w:r>
          </w:p>
        </w:tc>
        <w:tc>
          <w:tcPr>
            <w:tcW w:w="3544" w:type="dxa"/>
            <w:tcBorders>
              <w:top w:val="single" w:color="auto" w:sz="8" w:space="0"/>
              <w:left w:val="single" w:color="auto" w:sz="4" w:space="0"/>
              <w:bottom w:val="single" w:color="auto" w:sz="4" w:space="0"/>
              <w:right w:val="single" w:color="auto" w:sz="4" w:space="0"/>
            </w:tcBorders>
            <w:vAlign w:val="center"/>
          </w:tcPr>
          <w:p w14:paraId="0A061992">
            <w:pPr>
              <w:numPr>
                <w:ilvl w:val="0"/>
                <w:numId w:val="0"/>
              </w:numPr>
              <w:spacing w:line="240" w:lineRule="auto"/>
              <w:rPr>
                <w:rFonts w:hint="default" w:ascii="宋体" w:hAnsi="宋体"/>
                <w:color w:val="000000" w:themeColor="text1"/>
                <w:sz w:val="18"/>
                <w:szCs w:val="18"/>
                <w:lang w:val="en-US" w:eastAsia="zh-CN"/>
              </w:rPr>
            </w:pPr>
            <w:r>
              <w:rPr>
                <w:rFonts w:hint="eastAsia" w:cs="Times New Roman"/>
                <w:color w:val="000000" w:themeColor="text1"/>
                <w:sz w:val="18"/>
                <w:szCs w:val="18"/>
                <w:lang w:val="en-US" w:eastAsia="zh-CN"/>
              </w:rPr>
              <w:t>定期检查滑轮和卷筒，达到</w:t>
            </w:r>
            <w:r>
              <w:rPr>
                <w:rFonts w:hint="eastAsia" w:ascii="宋体" w:hAnsi="宋体"/>
                <w:color w:val="000000" w:themeColor="text1"/>
                <w:sz w:val="18"/>
                <w:szCs w:val="18"/>
                <w:lang w:val="en-US" w:eastAsia="zh-CN"/>
              </w:rPr>
              <w:t>GB5144报废的规定</w:t>
            </w:r>
            <w:r>
              <w:rPr>
                <w:rFonts w:hint="eastAsia"/>
                <w:color w:val="000000" w:themeColor="text1"/>
                <w:sz w:val="18"/>
                <w:szCs w:val="18"/>
                <w:lang w:val="en-US" w:eastAsia="zh-CN"/>
              </w:rPr>
              <w:t>的应及时更换；定期检查</w:t>
            </w:r>
            <w:r>
              <w:rPr>
                <w:rFonts w:hint="eastAsia" w:ascii="宋体" w:hAnsi="宋体"/>
                <w:color w:val="000000" w:themeColor="text1"/>
                <w:sz w:val="18"/>
                <w:szCs w:val="18"/>
                <w:lang w:val="en-US" w:eastAsia="zh-CN"/>
              </w:rPr>
              <w:t>钢丝绳防脱槽装置，缺失时应及时安装齐全；滑轮运作不灵活、轮缘破损时应及时润滑或更换</w:t>
            </w:r>
          </w:p>
          <w:p w14:paraId="1241A4F9">
            <w:pPr>
              <w:pStyle w:val="236"/>
              <w:spacing w:before="6" w:beforeAutospacing="0"/>
              <w:ind w:right="118"/>
              <w:rPr>
                <w:rFonts w:hint="default" w:eastAsia="宋体" w:cs="Times New Roman"/>
                <w:color w:val="000000" w:themeColor="text1"/>
                <w:sz w:val="18"/>
                <w:szCs w:val="18"/>
                <w:lang w:val="en-US" w:eastAsia="zh-CN"/>
              </w:rPr>
            </w:pPr>
          </w:p>
        </w:tc>
        <w:tc>
          <w:tcPr>
            <w:tcW w:w="425" w:type="dxa"/>
            <w:tcBorders>
              <w:top w:val="single" w:color="auto" w:sz="8" w:space="0"/>
              <w:left w:val="single" w:color="auto" w:sz="4" w:space="0"/>
              <w:bottom w:val="single" w:color="auto" w:sz="4" w:space="0"/>
              <w:right w:val="single" w:color="auto" w:sz="4" w:space="0"/>
            </w:tcBorders>
            <w:vAlign w:val="center"/>
          </w:tcPr>
          <w:p w14:paraId="6837008A">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3</w:t>
            </w:r>
          </w:p>
        </w:tc>
        <w:tc>
          <w:tcPr>
            <w:tcW w:w="426" w:type="dxa"/>
            <w:tcBorders>
              <w:top w:val="single" w:color="auto" w:sz="8" w:space="0"/>
              <w:left w:val="single" w:color="auto" w:sz="4" w:space="0"/>
              <w:bottom w:val="single" w:color="auto" w:sz="4" w:space="0"/>
              <w:right w:val="single" w:color="auto" w:sz="4" w:space="0"/>
            </w:tcBorders>
            <w:vAlign w:val="center"/>
          </w:tcPr>
          <w:p w14:paraId="06CA2EF4">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8" w:space="0"/>
              <w:left w:val="single" w:color="auto" w:sz="4" w:space="0"/>
              <w:bottom w:val="single" w:color="auto" w:sz="4" w:space="0"/>
              <w:right w:val="single" w:color="auto" w:sz="4" w:space="0"/>
            </w:tcBorders>
            <w:vAlign w:val="center"/>
          </w:tcPr>
          <w:p w14:paraId="34EB2748">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15</w:t>
            </w:r>
          </w:p>
        </w:tc>
        <w:tc>
          <w:tcPr>
            <w:tcW w:w="425" w:type="dxa"/>
            <w:tcBorders>
              <w:top w:val="single" w:color="auto" w:sz="8" w:space="0"/>
              <w:left w:val="single" w:color="auto" w:sz="4" w:space="0"/>
              <w:bottom w:val="single" w:color="auto" w:sz="4" w:space="0"/>
              <w:right w:val="single" w:color="auto" w:sz="4" w:space="0"/>
            </w:tcBorders>
            <w:vAlign w:val="center"/>
          </w:tcPr>
          <w:p w14:paraId="22177855">
            <w:pPr>
              <w:jc w:val="center"/>
              <w:rPr>
                <w:rFonts w:ascii="宋体" w:hAnsi="宋体"/>
                <w:color w:val="000000" w:themeColor="text1"/>
                <w:sz w:val="18"/>
                <w:szCs w:val="18"/>
              </w:rPr>
            </w:pPr>
            <w:r>
              <w:rPr>
                <w:rFonts w:ascii="宋体" w:hAnsi="宋体"/>
                <w:color w:val="000000" w:themeColor="text1"/>
                <w:sz w:val="18"/>
                <w:szCs w:val="18"/>
              </w:rPr>
              <w:t>2</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20B04A81">
            <w:pPr>
              <w:jc w:val="center"/>
              <w:rPr>
                <w:rFonts w:ascii="宋体" w:hAnsi="宋体"/>
                <w:color w:val="000000" w:themeColor="text1"/>
                <w:sz w:val="18"/>
                <w:szCs w:val="18"/>
              </w:rPr>
            </w:pPr>
            <w:r>
              <w:rPr>
                <w:rFonts w:hint="eastAsia" w:ascii="宋体" w:hAnsi="宋体"/>
                <w:color w:val="000000" w:themeColor="text1"/>
                <w:sz w:val="18"/>
                <w:szCs w:val="18"/>
              </w:rPr>
              <w:t>橙</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5CEC753B">
            <w:pPr>
              <w:widowControl/>
              <w:jc w:val="center"/>
              <w:rPr>
                <w:rFonts w:ascii="宋体" w:hAnsi="宋体"/>
                <w:color w:val="000000" w:themeColor="text1"/>
                <w:kern w:val="0"/>
                <w:sz w:val="18"/>
                <w:szCs w:val="18"/>
              </w:rPr>
            </w:pPr>
          </w:p>
        </w:tc>
      </w:tr>
      <w:tr w14:paraId="6AFF05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4" w:space="0"/>
              <w:left w:val="single" w:color="auto" w:sz="8" w:space="0"/>
              <w:bottom w:val="single" w:color="auto" w:sz="4" w:space="0"/>
              <w:right w:val="single" w:color="auto" w:sz="4" w:space="0"/>
            </w:tcBorders>
            <w:vAlign w:val="center"/>
          </w:tcPr>
          <w:p w14:paraId="7DC26622">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7</w:t>
            </w:r>
          </w:p>
        </w:tc>
        <w:tc>
          <w:tcPr>
            <w:tcW w:w="0" w:type="auto"/>
            <w:vMerge w:val="continue"/>
            <w:tcBorders>
              <w:top w:val="nil"/>
              <w:left w:val="single" w:color="auto" w:sz="4" w:space="0"/>
              <w:bottom w:val="single" w:color="auto" w:sz="4" w:space="0"/>
              <w:right w:val="single" w:color="auto" w:sz="4" w:space="0"/>
            </w:tcBorders>
            <w:vAlign w:val="center"/>
          </w:tcPr>
          <w:p w14:paraId="76308EDC">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4900CD38">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电气控制系统</w:t>
            </w:r>
          </w:p>
        </w:tc>
        <w:tc>
          <w:tcPr>
            <w:tcW w:w="4385" w:type="dxa"/>
            <w:tcBorders>
              <w:top w:val="single" w:color="auto" w:sz="4" w:space="0"/>
              <w:left w:val="single" w:color="auto" w:sz="4" w:space="0"/>
              <w:bottom w:val="single" w:color="auto" w:sz="4" w:space="0"/>
              <w:right w:val="single" w:color="auto" w:sz="4" w:space="0"/>
            </w:tcBorders>
            <w:vAlign w:val="center"/>
          </w:tcPr>
          <w:p w14:paraId="344D3A5A">
            <w:pPr>
              <w:numPr>
                <w:ilvl w:val="0"/>
                <w:numId w:val="47"/>
              </w:numPr>
              <w:spacing w:line="240" w:lineRule="auto"/>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电缆固定、防护不可靠，绝缘皮老化或破损</w:t>
            </w:r>
          </w:p>
          <w:p w14:paraId="6D18AFB3">
            <w:pPr>
              <w:numPr>
                <w:ilvl w:val="0"/>
                <w:numId w:val="47"/>
              </w:numPr>
              <w:spacing w:line="240" w:lineRule="auto"/>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电缆线接头处松动</w:t>
            </w:r>
          </w:p>
          <w:p w14:paraId="79C12004">
            <w:pPr>
              <w:numPr>
                <w:ilvl w:val="0"/>
                <w:numId w:val="47"/>
              </w:numPr>
              <w:spacing w:line="240" w:lineRule="auto"/>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电气器件上积尘严重</w:t>
            </w:r>
          </w:p>
          <w:p w14:paraId="3D4E5C5F">
            <w:pPr>
              <w:numPr>
                <w:ilvl w:val="0"/>
                <w:numId w:val="47"/>
              </w:numPr>
              <w:spacing w:line="240" w:lineRule="auto"/>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电气对地绝缘电阻不符合GB/T5031的规定</w:t>
            </w:r>
          </w:p>
          <w:p w14:paraId="56504BF9">
            <w:pPr>
              <w:numPr>
                <w:ilvl w:val="0"/>
                <w:numId w:val="47"/>
              </w:numPr>
              <w:spacing w:line="240" w:lineRule="auto"/>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电气器件缺损</w:t>
            </w:r>
          </w:p>
          <w:p w14:paraId="396E6454">
            <w:pPr>
              <w:spacing w:line="240" w:lineRule="auto"/>
              <w:rPr>
                <w:rFonts w:hint="default" w:ascii="宋体" w:hAnsi="宋体"/>
                <w:color w:val="000000" w:themeColor="text1"/>
                <w:sz w:val="18"/>
                <w:szCs w:val="18"/>
                <w:lang w:val="en-US" w:eastAsia="zh-CN"/>
              </w:rPr>
            </w:pPr>
          </w:p>
        </w:tc>
        <w:tc>
          <w:tcPr>
            <w:tcW w:w="1842" w:type="dxa"/>
            <w:tcBorders>
              <w:top w:val="single" w:color="auto" w:sz="4" w:space="0"/>
              <w:left w:val="single" w:color="auto" w:sz="4" w:space="0"/>
              <w:bottom w:val="single" w:color="auto" w:sz="4" w:space="0"/>
              <w:right w:val="single" w:color="auto" w:sz="4" w:space="0"/>
            </w:tcBorders>
            <w:vAlign w:val="center"/>
          </w:tcPr>
          <w:p w14:paraId="79A42F0C">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rPr>
              <w:t>故障、</w:t>
            </w:r>
            <w:r>
              <w:rPr>
                <w:rFonts w:hint="eastAsia" w:cs="Times New Roman"/>
                <w:color w:val="000000" w:themeColor="text1"/>
                <w:sz w:val="18"/>
                <w:szCs w:val="18"/>
                <w:lang w:val="en-US" w:eastAsia="zh-CN"/>
              </w:rPr>
              <w:t>触电</w:t>
            </w:r>
          </w:p>
        </w:tc>
        <w:tc>
          <w:tcPr>
            <w:tcW w:w="3544" w:type="dxa"/>
            <w:tcBorders>
              <w:top w:val="single" w:color="auto" w:sz="4" w:space="0"/>
              <w:left w:val="single" w:color="auto" w:sz="4" w:space="0"/>
              <w:bottom w:val="single" w:color="auto" w:sz="4" w:space="0"/>
              <w:right w:val="single" w:color="auto" w:sz="4" w:space="0"/>
            </w:tcBorders>
            <w:vAlign w:val="center"/>
          </w:tcPr>
          <w:p w14:paraId="31C8AEBD">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定期检查电气控制系统，确保电缆固定、防护可靠，绝缘皮老化或破损的应及时更换；定期检查电缆接头确保接头处紧固可靠；定期检查电气器件，缺损时及时更换，及时处理积尘；定期测量线路对地绝缘电阻是否符合</w:t>
            </w:r>
            <w:r>
              <w:rPr>
                <w:rFonts w:hint="eastAsia" w:ascii="宋体" w:hAnsi="宋体"/>
                <w:color w:val="000000" w:themeColor="text1"/>
                <w:sz w:val="18"/>
                <w:szCs w:val="18"/>
                <w:lang w:val="en-US" w:eastAsia="zh-CN"/>
              </w:rPr>
              <w:t>GB/T5031的规定</w:t>
            </w:r>
            <w:r>
              <w:rPr>
                <w:rFonts w:hint="eastAsia"/>
                <w:color w:val="000000" w:themeColor="text1"/>
                <w:sz w:val="18"/>
                <w:szCs w:val="18"/>
                <w:lang w:val="en-US" w:eastAsia="zh-CN"/>
              </w:rPr>
              <w:t>，不符合时应及时检修</w:t>
            </w:r>
          </w:p>
        </w:tc>
        <w:tc>
          <w:tcPr>
            <w:tcW w:w="425" w:type="dxa"/>
            <w:tcBorders>
              <w:top w:val="single" w:color="auto" w:sz="4" w:space="0"/>
              <w:left w:val="single" w:color="auto" w:sz="4" w:space="0"/>
              <w:bottom w:val="single" w:color="auto" w:sz="4" w:space="0"/>
              <w:right w:val="single" w:color="auto" w:sz="4" w:space="0"/>
            </w:tcBorders>
            <w:vAlign w:val="center"/>
          </w:tcPr>
          <w:p w14:paraId="42DD09CE">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701B49FF">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vAlign w:val="center"/>
          </w:tcPr>
          <w:p w14:paraId="1E0B588C">
            <w:pPr>
              <w:jc w:val="center"/>
              <w:rPr>
                <w:rFonts w:ascii="宋体" w:hAnsi="宋体"/>
                <w:color w:val="000000" w:themeColor="text1"/>
                <w:sz w:val="18"/>
                <w:szCs w:val="18"/>
              </w:rPr>
            </w:pPr>
            <w:r>
              <w:rPr>
                <w:rFonts w:ascii="宋体" w:hAnsi="宋体"/>
                <w:color w:val="000000" w:themeColor="text1"/>
                <w:sz w:val="18"/>
                <w:szCs w:val="18"/>
              </w:rPr>
              <w:t>6</w:t>
            </w:r>
          </w:p>
        </w:tc>
        <w:tc>
          <w:tcPr>
            <w:tcW w:w="425" w:type="dxa"/>
            <w:tcBorders>
              <w:top w:val="single" w:color="auto" w:sz="4" w:space="0"/>
              <w:left w:val="single" w:color="auto" w:sz="4" w:space="0"/>
              <w:bottom w:val="single" w:color="auto" w:sz="4" w:space="0"/>
              <w:right w:val="single" w:color="auto" w:sz="4" w:space="0"/>
            </w:tcBorders>
            <w:vAlign w:val="center"/>
          </w:tcPr>
          <w:p w14:paraId="042581FB">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3ABA80B">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8A8B9C6">
            <w:pPr>
              <w:widowControl/>
              <w:jc w:val="center"/>
              <w:rPr>
                <w:rFonts w:ascii="宋体" w:hAnsi="宋体"/>
                <w:color w:val="000000" w:themeColor="text1"/>
                <w:kern w:val="0"/>
                <w:sz w:val="18"/>
                <w:szCs w:val="18"/>
              </w:rPr>
            </w:pPr>
          </w:p>
        </w:tc>
      </w:tr>
      <w:tr w14:paraId="102FAA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24" w:hRule="atLeast"/>
        </w:trPr>
        <w:tc>
          <w:tcPr>
            <w:tcW w:w="577" w:type="dxa"/>
            <w:tcBorders>
              <w:top w:val="single" w:color="auto" w:sz="4" w:space="0"/>
              <w:left w:val="single" w:color="auto" w:sz="8" w:space="0"/>
              <w:bottom w:val="single" w:color="auto" w:sz="8" w:space="0"/>
              <w:right w:val="single" w:color="auto" w:sz="4" w:space="0"/>
            </w:tcBorders>
            <w:vAlign w:val="center"/>
          </w:tcPr>
          <w:p w14:paraId="7776A253">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38</w:t>
            </w:r>
          </w:p>
        </w:tc>
        <w:tc>
          <w:tcPr>
            <w:tcW w:w="0" w:type="auto"/>
            <w:vMerge w:val="continue"/>
            <w:tcBorders>
              <w:top w:val="nil"/>
              <w:left w:val="single" w:color="auto" w:sz="4" w:space="0"/>
              <w:bottom w:val="single" w:color="auto" w:sz="4" w:space="0"/>
              <w:right w:val="single" w:color="auto" w:sz="4" w:space="0"/>
            </w:tcBorders>
            <w:vAlign w:val="center"/>
          </w:tcPr>
          <w:p w14:paraId="1CA26BC6">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648701BD">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起重量限制器</w:t>
            </w:r>
          </w:p>
        </w:tc>
        <w:tc>
          <w:tcPr>
            <w:tcW w:w="4385" w:type="dxa"/>
            <w:tcBorders>
              <w:top w:val="single" w:color="auto" w:sz="4" w:space="0"/>
              <w:left w:val="single" w:color="auto" w:sz="4" w:space="0"/>
              <w:bottom w:val="single" w:color="auto" w:sz="8" w:space="0"/>
              <w:right w:val="single" w:color="auto" w:sz="4" w:space="0"/>
            </w:tcBorders>
            <w:vAlign w:val="center"/>
          </w:tcPr>
          <w:p w14:paraId="4FAA1CD8">
            <w:pPr>
              <w:numPr>
                <w:ilvl w:val="0"/>
                <w:numId w:val="48"/>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起重量限制器示数不准确</w:t>
            </w:r>
          </w:p>
          <w:p w14:paraId="4E99B5CD">
            <w:pPr>
              <w:numPr>
                <w:ilvl w:val="0"/>
                <w:numId w:val="48"/>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起重量限制器损坏或失效</w:t>
            </w:r>
          </w:p>
        </w:tc>
        <w:tc>
          <w:tcPr>
            <w:tcW w:w="1842" w:type="dxa"/>
            <w:tcBorders>
              <w:top w:val="single" w:color="auto" w:sz="4" w:space="0"/>
              <w:left w:val="single" w:color="auto" w:sz="4" w:space="0"/>
              <w:bottom w:val="single" w:color="auto" w:sz="8" w:space="0"/>
              <w:right w:val="single" w:color="auto" w:sz="4" w:space="0"/>
            </w:tcBorders>
            <w:vAlign w:val="center"/>
          </w:tcPr>
          <w:p w14:paraId="70BB17C2">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故障、坠落、倾倒</w:t>
            </w:r>
          </w:p>
        </w:tc>
        <w:tc>
          <w:tcPr>
            <w:tcW w:w="3544" w:type="dxa"/>
            <w:tcBorders>
              <w:top w:val="single" w:color="auto" w:sz="4" w:space="0"/>
              <w:left w:val="single" w:color="auto" w:sz="4" w:space="0"/>
              <w:bottom w:val="single" w:color="auto" w:sz="8" w:space="0"/>
              <w:right w:val="single" w:color="auto" w:sz="4" w:space="0"/>
            </w:tcBorders>
            <w:vAlign w:val="center"/>
          </w:tcPr>
          <w:p w14:paraId="0689E74A">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安装调试时，应保证起重量限制器示数准确；定期检查起重量限制器是否损坏或失效，损坏或失效时应及时更换和调试</w:t>
            </w:r>
          </w:p>
        </w:tc>
        <w:tc>
          <w:tcPr>
            <w:tcW w:w="425" w:type="dxa"/>
            <w:tcBorders>
              <w:top w:val="single" w:color="auto" w:sz="4" w:space="0"/>
              <w:left w:val="single" w:color="auto" w:sz="4" w:space="0"/>
              <w:bottom w:val="single" w:color="auto" w:sz="8" w:space="0"/>
              <w:right w:val="single" w:color="auto" w:sz="4" w:space="0"/>
            </w:tcBorders>
            <w:vAlign w:val="center"/>
          </w:tcPr>
          <w:p w14:paraId="78C53D2C">
            <w:pPr>
              <w:jc w:val="center"/>
              <w:rPr>
                <w:rFonts w:ascii="宋体" w:hAnsi="宋体"/>
                <w:color w:val="000000" w:themeColor="text1"/>
                <w:sz w:val="18"/>
                <w:szCs w:val="18"/>
              </w:rPr>
            </w:pPr>
            <w:r>
              <w:rPr>
                <w:rFonts w:ascii="宋体" w:hAnsi="宋体"/>
                <w:color w:val="000000" w:themeColor="text1"/>
                <w:sz w:val="18"/>
                <w:szCs w:val="18"/>
              </w:rPr>
              <w:t>5</w:t>
            </w:r>
          </w:p>
        </w:tc>
        <w:tc>
          <w:tcPr>
            <w:tcW w:w="426" w:type="dxa"/>
            <w:tcBorders>
              <w:top w:val="single" w:color="auto" w:sz="4" w:space="0"/>
              <w:left w:val="single" w:color="auto" w:sz="4" w:space="0"/>
              <w:bottom w:val="single" w:color="auto" w:sz="8" w:space="0"/>
              <w:right w:val="single" w:color="auto" w:sz="4" w:space="0"/>
            </w:tcBorders>
            <w:vAlign w:val="center"/>
          </w:tcPr>
          <w:p w14:paraId="3663DCE2">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8" w:space="0"/>
              <w:right w:val="single" w:color="auto" w:sz="4" w:space="0"/>
            </w:tcBorders>
            <w:vAlign w:val="center"/>
          </w:tcPr>
          <w:p w14:paraId="1DE50AA3">
            <w:pPr>
              <w:jc w:val="center"/>
              <w:rPr>
                <w:rFonts w:hint="eastAsia" w:ascii="宋体" w:hAnsi="宋体" w:eastAsia="宋体"/>
                <w:color w:val="000000" w:themeColor="text1"/>
                <w:sz w:val="18"/>
                <w:szCs w:val="18"/>
                <w:lang w:eastAsia="zh-CN"/>
              </w:rPr>
            </w:pPr>
            <w:r>
              <w:rPr>
                <w:rFonts w:ascii="宋体" w:hAnsi="宋体"/>
                <w:color w:val="000000" w:themeColor="text1"/>
                <w:sz w:val="18"/>
                <w:szCs w:val="18"/>
              </w:rPr>
              <w:t>2</w:t>
            </w:r>
            <w:r>
              <w:rPr>
                <w:rFonts w:hint="eastAsia" w:ascii="宋体" w:hAnsi="宋体"/>
                <w:color w:val="000000" w:themeColor="text1"/>
                <w:sz w:val="18"/>
                <w:szCs w:val="18"/>
                <w:lang w:val="en-US" w:eastAsia="zh-CN"/>
              </w:rPr>
              <w:t>5</w:t>
            </w:r>
          </w:p>
        </w:tc>
        <w:tc>
          <w:tcPr>
            <w:tcW w:w="425" w:type="dxa"/>
            <w:tcBorders>
              <w:top w:val="single" w:color="auto" w:sz="4" w:space="0"/>
              <w:left w:val="single" w:color="auto" w:sz="4" w:space="0"/>
              <w:bottom w:val="single" w:color="auto" w:sz="8" w:space="0"/>
              <w:right w:val="single" w:color="auto" w:sz="4" w:space="0"/>
            </w:tcBorders>
            <w:vAlign w:val="center"/>
          </w:tcPr>
          <w:p w14:paraId="0A95ED36">
            <w:pPr>
              <w:jc w:val="center"/>
              <w:rPr>
                <w:rFonts w:ascii="宋体" w:hAnsi="宋体"/>
                <w:color w:val="000000" w:themeColor="text1"/>
                <w:sz w:val="18"/>
                <w:szCs w:val="18"/>
              </w:rPr>
            </w:pPr>
            <w:r>
              <w:rPr>
                <w:rFonts w:ascii="宋体" w:hAnsi="宋体"/>
                <w:color w:val="000000" w:themeColor="text1"/>
                <w:sz w:val="18"/>
                <w:szCs w:val="18"/>
              </w:rPr>
              <w:t>1</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4AE1BB9">
            <w:pPr>
              <w:jc w:val="center"/>
              <w:rPr>
                <w:rFonts w:ascii="宋体" w:hAnsi="宋体"/>
                <w:color w:val="000000" w:themeColor="text1"/>
                <w:sz w:val="18"/>
                <w:szCs w:val="18"/>
              </w:rPr>
            </w:pPr>
            <w:r>
              <w:rPr>
                <w:rFonts w:hint="eastAsia" w:ascii="宋体" w:hAnsi="宋体"/>
                <w:color w:val="000000" w:themeColor="text1"/>
                <w:sz w:val="18"/>
                <w:szCs w:val="18"/>
              </w:rPr>
              <w:t>红</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410CBB0">
            <w:pPr>
              <w:widowControl/>
              <w:jc w:val="center"/>
              <w:rPr>
                <w:rFonts w:ascii="宋体" w:hAnsi="宋体"/>
                <w:color w:val="000000" w:themeColor="text1"/>
                <w:kern w:val="0"/>
                <w:sz w:val="18"/>
                <w:szCs w:val="18"/>
              </w:rPr>
            </w:pPr>
          </w:p>
        </w:tc>
      </w:tr>
    </w:tbl>
    <w:p w14:paraId="59F66E3D">
      <w:pPr>
        <w:pStyle w:val="58"/>
        <w:ind w:firstLine="420"/>
        <w:rPr>
          <w:color w:val="000000" w:themeColor="text1"/>
        </w:rPr>
      </w:pPr>
    </w:p>
    <w:p w14:paraId="0D5D10BD">
      <w:pPr>
        <w:pStyle w:val="58"/>
        <w:ind w:firstLine="42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498B5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164A9E9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2307685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32C7A2C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33F0E0D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54B3047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325BCD2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17E16550">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476EB44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5177924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5BD6BBF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2723987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5FB2AD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84" w:hRule="atLeast"/>
        </w:trPr>
        <w:tc>
          <w:tcPr>
            <w:tcW w:w="577" w:type="dxa"/>
            <w:tcBorders>
              <w:top w:val="single" w:color="auto" w:sz="8" w:space="0"/>
              <w:left w:val="single" w:color="auto" w:sz="8" w:space="0"/>
              <w:bottom w:val="single" w:color="auto" w:sz="4" w:space="0"/>
              <w:right w:val="single" w:color="auto" w:sz="4" w:space="0"/>
            </w:tcBorders>
            <w:vAlign w:val="center"/>
          </w:tcPr>
          <w:p w14:paraId="3E9581FD">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3</w:t>
            </w:r>
            <w:r>
              <w:rPr>
                <w:rFonts w:hint="eastAsia" w:ascii="宋体" w:hAnsi="宋体"/>
                <w:color w:val="000000" w:themeColor="text1"/>
                <w:kern w:val="0"/>
                <w:sz w:val="18"/>
                <w:szCs w:val="18"/>
                <w:lang w:val="en-US" w:eastAsia="zh-CN"/>
              </w:rPr>
              <w:t>9</w:t>
            </w:r>
          </w:p>
        </w:tc>
        <w:tc>
          <w:tcPr>
            <w:tcW w:w="567" w:type="dxa"/>
            <w:vMerge w:val="restart"/>
            <w:tcBorders>
              <w:top w:val="nil"/>
              <w:left w:val="single" w:color="auto" w:sz="4" w:space="0"/>
              <w:bottom w:val="single" w:color="auto" w:sz="4" w:space="0"/>
              <w:right w:val="single" w:color="auto" w:sz="4" w:space="0"/>
            </w:tcBorders>
            <w:vAlign w:val="center"/>
          </w:tcPr>
          <w:p w14:paraId="613172ED">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62DFBBE2">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557945E0">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起重力矩限制器</w:t>
            </w:r>
          </w:p>
        </w:tc>
        <w:tc>
          <w:tcPr>
            <w:tcW w:w="4385" w:type="dxa"/>
            <w:tcBorders>
              <w:top w:val="single" w:color="auto" w:sz="8" w:space="0"/>
              <w:left w:val="single" w:color="auto" w:sz="4" w:space="0"/>
              <w:bottom w:val="single" w:color="auto" w:sz="4" w:space="0"/>
              <w:right w:val="single" w:color="auto" w:sz="4" w:space="0"/>
            </w:tcBorders>
            <w:vAlign w:val="center"/>
          </w:tcPr>
          <w:p w14:paraId="71F2D251">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起重力矩限制器损坏或失效</w:t>
            </w:r>
          </w:p>
        </w:tc>
        <w:tc>
          <w:tcPr>
            <w:tcW w:w="1842" w:type="dxa"/>
            <w:tcBorders>
              <w:top w:val="single" w:color="auto" w:sz="8" w:space="0"/>
              <w:left w:val="single" w:color="auto" w:sz="4" w:space="0"/>
              <w:bottom w:val="single" w:color="auto" w:sz="4" w:space="0"/>
              <w:right w:val="single" w:color="auto" w:sz="4" w:space="0"/>
            </w:tcBorders>
            <w:vAlign w:val="center"/>
          </w:tcPr>
          <w:p w14:paraId="0BD1B575">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故障</w:t>
            </w:r>
            <w:r>
              <w:rPr>
                <w:rFonts w:hint="eastAsia" w:cs="Times New Roman"/>
                <w:color w:val="000000" w:themeColor="text1"/>
                <w:sz w:val="18"/>
                <w:szCs w:val="18"/>
              </w:rPr>
              <w:t>、</w:t>
            </w:r>
            <w:r>
              <w:rPr>
                <w:rFonts w:hint="eastAsia" w:cs="Times New Roman"/>
                <w:color w:val="000000" w:themeColor="text1"/>
                <w:sz w:val="18"/>
                <w:szCs w:val="18"/>
                <w:lang w:val="en-US" w:eastAsia="zh-CN"/>
              </w:rPr>
              <w:t>倾倒</w:t>
            </w:r>
          </w:p>
        </w:tc>
        <w:tc>
          <w:tcPr>
            <w:tcW w:w="3544" w:type="dxa"/>
            <w:tcBorders>
              <w:top w:val="single" w:color="auto" w:sz="8" w:space="0"/>
              <w:left w:val="single" w:color="auto" w:sz="4" w:space="0"/>
              <w:bottom w:val="single" w:color="auto" w:sz="4" w:space="0"/>
              <w:right w:val="single" w:color="auto" w:sz="4" w:space="0"/>
            </w:tcBorders>
            <w:vAlign w:val="center"/>
          </w:tcPr>
          <w:p w14:paraId="609C1E00">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安装调试时，应保证起重力矩限制器在规定范围内；定期检查起重力矩限制器是否损坏或失效，损坏或失效时应及时更换和调试</w:t>
            </w:r>
          </w:p>
        </w:tc>
        <w:tc>
          <w:tcPr>
            <w:tcW w:w="425" w:type="dxa"/>
            <w:tcBorders>
              <w:top w:val="single" w:color="auto" w:sz="8" w:space="0"/>
              <w:left w:val="single" w:color="auto" w:sz="4" w:space="0"/>
              <w:bottom w:val="single" w:color="auto" w:sz="4" w:space="0"/>
              <w:right w:val="single" w:color="auto" w:sz="4" w:space="0"/>
            </w:tcBorders>
            <w:vAlign w:val="center"/>
          </w:tcPr>
          <w:p w14:paraId="3BFC921A">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5</w:t>
            </w:r>
          </w:p>
        </w:tc>
        <w:tc>
          <w:tcPr>
            <w:tcW w:w="426" w:type="dxa"/>
            <w:tcBorders>
              <w:top w:val="single" w:color="auto" w:sz="8" w:space="0"/>
              <w:left w:val="single" w:color="auto" w:sz="4" w:space="0"/>
              <w:bottom w:val="single" w:color="auto" w:sz="4" w:space="0"/>
              <w:right w:val="single" w:color="auto" w:sz="4" w:space="0"/>
            </w:tcBorders>
            <w:vAlign w:val="center"/>
          </w:tcPr>
          <w:p w14:paraId="33C30C18">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8" w:space="0"/>
              <w:left w:val="single" w:color="auto" w:sz="4" w:space="0"/>
              <w:bottom w:val="single" w:color="auto" w:sz="4" w:space="0"/>
              <w:right w:val="single" w:color="auto" w:sz="4" w:space="0"/>
            </w:tcBorders>
            <w:vAlign w:val="center"/>
          </w:tcPr>
          <w:p w14:paraId="6BFA94B5">
            <w:pPr>
              <w:jc w:val="center"/>
              <w:rPr>
                <w:rFonts w:ascii="宋体" w:hAnsi="宋体"/>
                <w:color w:val="000000" w:themeColor="text1"/>
                <w:sz w:val="18"/>
                <w:szCs w:val="18"/>
              </w:rPr>
            </w:pPr>
            <w:r>
              <w:rPr>
                <w:rFonts w:hint="eastAsia" w:ascii="宋体" w:hAnsi="宋体"/>
                <w:color w:val="000000" w:themeColor="text1"/>
                <w:sz w:val="18"/>
                <w:szCs w:val="18"/>
                <w:lang w:val="en-US" w:eastAsia="zh-CN"/>
              </w:rPr>
              <w:t>2</w:t>
            </w:r>
            <w:r>
              <w:rPr>
                <w:rFonts w:ascii="宋体" w:hAnsi="宋体"/>
                <w:color w:val="000000" w:themeColor="text1"/>
                <w:sz w:val="18"/>
                <w:szCs w:val="18"/>
              </w:rPr>
              <w:t>5</w:t>
            </w:r>
          </w:p>
        </w:tc>
        <w:tc>
          <w:tcPr>
            <w:tcW w:w="425" w:type="dxa"/>
            <w:tcBorders>
              <w:top w:val="single" w:color="auto" w:sz="8" w:space="0"/>
              <w:left w:val="single" w:color="auto" w:sz="4" w:space="0"/>
              <w:bottom w:val="single" w:color="auto" w:sz="4" w:space="0"/>
              <w:right w:val="single" w:color="auto" w:sz="4" w:space="0"/>
            </w:tcBorders>
            <w:vAlign w:val="center"/>
          </w:tcPr>
          <w:p w14:paraId="13A1ABD8">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1</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1F0BA08F">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eastAsia="zh-CN"/>
              </w:rPr>
              <w:t>红</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66E8BC3A">
            <w:pPr>
              <w:widowControl/>
              <w:jc w:val="center"/>
              <w:rPr>
                <w:rFonts w:ascii="宋体" w:hAnsi="宋体"/>
                <w:color w:val="000000" w:themeColor="text1"/>
                <w:kern w:val="0"/>
                <w:sz w:val="18"/>
                <w:szCs w:val="18"/>
              </w:rPr>
            </w:pPr>
          </w:p>
        </w:tc>
      </w:tr>
      <w:tr w14:paraId="42F65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90" w:hRule="atLeast"/>
        </w:trPr>
        <w:tc>
          <w:tcPr>
            <w:tcW w:w="577" w:type="dxa"/>
            <w:tcBorders>
              <w:top w:val="single" w:color="auto" w:sz="4" w:space="0"/>
              <w:left w:val="single" w:color="auto" w:sz="8" w:space="0"/>
              <w:bottom w:val="single" w:color="auto" w:sz="4" w:space="0"/>
              <w:right w:val="single" w:color="auto" w:sz="4" w:space="0"/>
            </w:tcBorders>
            <w:vAlign w:val="center"/>
          </w:tcPr>
          <w:p w14:paraId="0F9BC08D">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40</w:t>
            </w:r>
          </w:p>
        </w:tc>
        <w:tc>
          <w:tcPr>
            <w:tcW w:w="0" w:type="auto"/>
            <w:vMerge w:val="continue"/>
            <w:tcBorders>
              <w:top w:val="nil"/>
              <w:left w:val="single" w:color="auto" w:sz="4" w:space="0"/>
              <w:bottom w:val="single" w:color="auto" w:sz="4" w:space="0"/>
              <w:right w:val="single" w:color="auto" w:sz="4" w:space="0"/>
            </w:tcBorders>
            <w:vAlign w:val="center"/>
          </w:tcPr>
          <w:p w14:paraId="647F99D5">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531D61AB">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行程限位器、高度限位器</w:t>
            </w:r>
          </w:p>
        </w:tc>
        <w:tc>
          <w:tcPr>
            <w:tcW w:w="4385" w:type="dxa"/>
            <w:tcBorders>
              <w:top w:val="single" w:color="auto" w:sz="4" w:space="0"/>
              <w:left w:val="single" w:color="auto" w:sz="4" w:space="0"/>
              <w:bottom w:val="single" w:color="auto" w:sz="4" w:space="0"/>
              <w:right w:val="single" w:color="auto" w:sz="4" w:space="0"/>
            </w:tcBorders>
            <w:vAlign w:val="center"/>
          </w:tcPr>
          <w:p w14:paraId="20681E3E">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1.行程限位器缺失、损坏或失效</w:t>
            </w:r>
          </w:p>
        </w:tc>
        <w:tc>
          <w:tcPr>
            <w:tcW w:w="1842" w:type="dxa"/>
            <w:tcBorders>
              <w:top w:val="single" w:color="auto" w:sz="4" w:space="0"/>
              <w:left w:val="single" w:color="auto" w:sz="4" w:space="0"/>
              <w:bottom w:val="single" w:color="auto" w:sz="4" w:space="0"/>
              <w:right w:val="single" w:color="auto" w:sz="4" w:space="0"/>
            </w:tcBorders>
            <w:vAlign w:val="center"/>
          </w:tcPr>
          <w:p w14:paraId="4E18CFAA">
            <w:pPr>
              <w:pStyle w:val="236"/>
              <w:spacing w:before="6" w:beforeAutospacing="0"/>
              <w:ind w:left="27" w:right="118"/>
              <w:rPr>
                <w:rFonts w:cs="Times New Roman"/>
                <w:color w:val="000000" w:themeColor="text1"/>
                <w:sz w:val="18"/>
                <w:szCs w:val="18"/>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碰撞</w:t>
            </w:r>
            <w:r>
              <w:rPr>
                <w:rFonts w:hint="eastAsia" w:cs="Times New Roman"/>
                <w:color w:val="000000" w:themeColor="text1"/>
                <w:sz w:val="18"/>
                <w:szCs w:val="18"/>
              </w:rPr>
              <w:t>、</w:t>
            </w:r>
            <w:r>
              <w:rPr>
                <w:rFonts w:hint="eastAsia" w:cs="Times New Roman"/>
                <w:color w:val="000000" w:themeColor="text1"/>
                <w:sz w:val="18"/>
                <w:szCs w:val="18"/>
                <w:lang w:val="en-US" w:eastAsia="zh-CN"/>
              </w:rPr>
              <w:t>故障</w:t>
            </w:r>
          </w:p>
        </w:tc>
        <w:tc>
          <w:tcPr>
            <w:tcW w:w="3544" w:type="dxa"/>
            <w:tcBorders>
              <w:top w:val="single" w:color="auto" w:sz="4" w:space="0"/>
              <w:left w:val="single" w:color="auto" w:sz="4" w:space="0"/>
              <w:bottom w:val="single" w:color="auto" w:sz="4" w:space="0"/>
              <w:right w:val="single" w:color="auto" w:sz="4" w:space="0"/>
            </w:tcBorders>
            <w:vAlign w:val="center"/>
          </w:tcPr>
          <w:p w14:paraId="3D76F1CE">
            <w:pPr>
              <w:pStyle w:val="236"/>
              <w:spacing w:before="6" w:beforeAutospacing="0"/>
              <w:ind w:right="118"/>
              <w:rPr>
                <w:rFonts w:cs="Times New Roman"/>
                <w:color w:val="000000" w:themeColor="text1"/>
                <w:sz w:val="18"/>
                <w:szCs w:val="18"/>
              </w:rPr>
            </w:pPr>
            <w:r>
              <w:rPr>
                <w:rFonts w:hint="eastAsia" w:cs="Times New Roman"/>
                <w:color w:val="000000" w:themeColor="text1"/>
                <w:sz w:val="18"/>
                <w:szCs w:val="18"/>
                <w:lang w:val="en-US" w:eastAsia="zh-CN"/>
              </w:rPr>
              <w:t>安装调试时，应保证</w:t>
            </w:r>
            <w:r>
              <w:rPr>
                <w:rFonts w:hint="eastAsia" w:ascii="宋体" w:hAnsi="宋体"/>
                <w:color w:val="000000" w:themeColor="text1"/>
                <w:sz w:val="18"/>
                <w:szCs w:val="18"/>
                <w:lang w:val="en-US" w:eastAsia="zh-CN"/>
              </w:rPr>
              <w:t>行程限位器</w:t>
            </w:r>
            <w:r>
              <w:rPr>
                <w:rFonts w:hint="eastAsia" w:cs="Times New Roman"/>
                <w:color w:val="000000" w:themeColor="text1"/>
                <w:sz w:val="18"/>
                <w:szCs w:val="18"/>
                <w:lang w:val="en-US" w:eastAsia="zh-CN"/>
              </w:rPr>
              <w:t>有效；定期检查</w:t>
            </w:r>
            <w:r>
              <w:rPr>
                <w:rFonts w:hint="eastAsia" w:ascii="宋体" w:hAnsi="宋体"/>
                <w:color w:val="000000" w:themeColor="text1"/>
                <w:sz w:val="18"/>
                <w:szCs w:val="18"/>
                <w:lang w:val="en-US" w:eastAsia="zh-CN"/>
              </w:rPr>
              <w:t>行程限位器、高度限位器</w:t>
            </w:r>
            <w:r>
              <w:rPr>
                <w:rFonts w:hint="eastAsia" w:cs="Times New Roman"/>
                <w:color w:val="000000" w:themeColor="text1"/>
                <w:sz w:val="18"/>
                <w:szCs w:val="18"/>
                <w:lang w:val="en-US" w:eastAsia="zh-CN"/>
              </w:rPr>
              <w:t>是否损坏或失效，损坏或失效时应及时更换和调试</w:t>
            </w:r>
          </w:p>
        </w:tc>
        <w:tc>
          <w:tcPr>
            <w:tcW w:w="425" w:type="dxa"/>
            <w:tcBorders>
              <w:top w:val="single" w:color="auto" w:sz="4" w:space="0"/>
              <w:left w:val="single" w:color="auto" w:sz="4" w:space="0"/>
              <w:bottom w:val="single" w:color="auto" w:sz="4" w:space="0"/>
              <w:right w:val="single" w:color="auto" w:sz="4" w:space="0"/>
            </w:tcBorders>
            <w:vAlign w:val="center"/>
          </w:tcPr>
          <w:p w14:paraId="105A9192">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223AF62C">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14:paraId="2C05B6D3">
            <w:pPr>
              <w:jc w:val="center"/>
              <w:rPr>
                <w:rFonts w:ascii="宋体" w:hAnsi="宋体"/>
                <w:color w:val="000000" w:themeColor="text1"/>
                <w:sz w:val="18"/>
                <w:szCs w:val="18"/>
              </w:rPr>
            </w:pPr>
            <w:r>
              <w:rPr>
                <w:rFonts w:ascii="宋体" w:hAnsi="宋体"/>
                <w:color w:val="000000" w:themeColor="text1"/>
                <w:sz w:val="18"/>
                <w:szCs w:val="18"/>
              </w:rPr>
              <w:t>10</w:t>
            </w:r>
          </w:p>
        </w:tc>
        <w:tc>
          <w:tcPr>
            <w:tcW w:w="425" w:type="dxa"/>
            <w:tcBorders>
              <w:top w:val="single" w:color="auto" w:sz="4" w:space="0"/>
              <w:left w:val="single" w:color="auto" w:sz="4" w:space="0"/>
              <w:bottom w:val="single" w:color="auto" w:sz="4" w:space="0"/>
              <w:right w:val="single" w:color="auto" w:sz="4" w:space="0"/>
            </w:tcBorders>
            <w:vAlign w:val="center"/>
          </w:tcPr>
          <w:p w14:paraId="651F5A3D">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5C108D9">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460E78F2">
            <w:pPr>
              <w:widowControl/>
              <w:jc w:val="center"/>
              <w:rPr>
                <w:rFonts w:ascii="宋体" w:hAnsi="宋体"/>
                <w:color w:val="000000" w:themeColor="text1"/>
                <w:kern w:val="0"/>
                <w:sz w:val="18"/>
                <w:szCs w:val="18"/>
              </w:rPr>
            </w:pPr>
          </w:p>
        </w:tc>
      </w:tr>
      <w:tr w14:paraId="79FEC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22" w:hRule="atLeast"/>
        </w:trPr>
        <w:tc>
          <w:tcPr>
            <w:tcW w:w="577" w:type="dxa"/>
            <w:tcBorders>
              <w:top w:val="single" w:color="auto" w:sz="4" w:space="0"/>
              <w:left w:val="single" w:color="auto" w:sz="8" w:space="0"/>
              <w:bottom w:val="single" w:color="auto" w:sz="4" w:space="0"/>
              <w:right w:val="single" w:color="auto" w:sz="4" w:space="0"/>
            </w:tcBorders>
            <w:vAlign w:val="center"/>
          </w:tcPr>
          <w:p w14:paraId="74ED051E">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4</w:t>
            </w:r>
            <w:r>
              <w:rPr>
                <w:rFonts w:hint="eastAsia" w:ascii="宋体" w:hAnsi="宋体"/>
                <w:color w:val="000000" w:themeColor="text1"/>
                <w:kern w:val="0"/>
                <w:sz w:val="18"/>
                <w:szCs w:val="18"/>
                <w:lang w:val="en-US" w:eastAsia="zh-CN"/>
              </w:rPr>
              <w:t>1</w:t>
            </w:r>
          </w:p>
        </w:tc>
        <w:tc>
          <w:tcPr>
            <w:tcW w:w="0" w:type="auto"/>
            <w:vMerge w:val="continue"/>
            <w:tcBorders>
              <w:top w:val="nil"/>
              <w:left w:val="single" w:color="auto" w:sz="4" w:space="0"/>
              <w:bottom w:val="nil"/>
              <w:right w:val="single" w:color="auto" w:sz="4" w:space="0"/>
            </w:tcBorders>
            <w:vAlign w:val="center"/>
          </w:tcPr>
          <w:p w14:paraId="1A57AC41">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2BEC68D7">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急停保护</w:t>
            </w:r>
          </w:p>
        </w:tc>
        <w:tc>
          <w:tcPr>
            <w:tcW w:w="4385" w:type="dxa"/>
            <w:tcBorders>
              <w:top w:val="single" w:color="auto" w:sz="4" w:space="0"/>
              <w:left w:val="single" w:color="auto" w:sz="4" w:space="0"/>
              <w:bottom w:val="single" w:color="auto" w:sz="4" w:space="0"/>
              <w:right w:val="single" w:color="auto" w:sz="4" w:space="0"/>
            </w:tcBorders>
            <w:vAlign w:val="center"/>
          </w:tcPr>
          <w:p w14:paraId="3FA4DC6B">
            <w:pPr>
              <w:numPr>
                <w:ilvl w:val="0"/>
                <w:numId w:val="49"/>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急停保护损坏或失效</w:t>
            </w:r>
          </w:p>
          <w:p w14:paraId="295C614B">
            <w:pPr>
              <w:numPr>
                <w:ilvl w:val="0"/>
                <w:numId w:val="49"/>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急停开关动作不灵敏</w:t>
            </w:r>
          </w:p>
        </w:tc>
        <w:tc>
          <w:tcPr>
            <w:tcW w:w="1842" w:type="dxa"/>
            <w:tcBorders>
              <w:top w:val="single" w:color="auto" w:sz="4" w:space="0"/>
              <w:left w:val="single" w:color="auto" w:sz="4" w:space="0"/>
              <w:bottom w:val="single" w:color="auto" w:sz="4" w:space="0"/>
              <w:right w:val="single" w:color="auto" w:sz="4" w:space="0"/>
            </w:tcBorders>
            <w:vAlign w:val="center"/>
          </w:tcPr>
          <w:p w14:paraId="2B725BDE">
            <w:pPr>
              <w:pStyle w:val="236"/>
              <w:spacing w:before="6" w:beforeAutospacing="0"/>
              <w:ind w:left="27" w:right="118"/>
              <w:rPr>
                <w:rFonts w:cs="Times New Roman"/>
                <w:color w:val="000000" w:themeColor="text1"/>
                <w:sz w:val="18"/>
                <w:szCs w:val="18"/>
              </w:rPr>
            </w:pPr>
            <w:r>
              <w:rPr>
                <w:rFonts w:hint="eastAsia" w:cs="Times New Roman"/>
                <w:color w:val="000000" w:themeColor="text1"/>
                <w:sz w:val="18"/>
                <w:szCs w:val="18"/>
                <w:lang w:val="en-US" w:eastAsia="zh-CN"/>
              </w:rPr>
              <w:t>故障</w:t>
            </w:r>
            <w:r>
              <w:rPr>
                <w:rFonts w:hint="eastAsia" w:cs="Times New Roman"/>
                <w:color w:val="000000" w:themeColor="text1"/>
                <w:sz w:val="18"/>
                <w:szCs w:val="18"/>
              </w:rPr>
              <w:t>、坠落、</w:t>
            </w:r>
            <w:r>
              <w:rPr>
                <w:rFonts w:hint="eastAsia" w:cs="Times New Roman"/>
                <w:color w:val="000000" w:themeColor="text1"/>
                <w:sz w:val="18"/>
                <w:szCs w:val="18"/>
                <w:lang w:val="en-US" w:eastAsia="zh-CN"/>
              </w:rPr>
              <w:t>碰撞</w:t>
            </w:r>
          </w:p>
        </w:tc>
        <w:tc>
          <w:tcPr>
            <w:tcW w:w="3544" w:type="dxa"/>
            <w:tcBorders>
              <w:top w:val="single" w:color="auto" w:sz="4" w:space="0"/>
              <w:left w:val="single" w:color="auto" w:sz="4" w:space="0"/>
              <w:bottom w:val="single" w:color="auto" w:sz="4" w:space="0"/>
              <w:right w:val="single" w:color="auto" w:sz="4" w:space="0"/>
            </w:tcBorders>
            <w:vAlign w:val="center"/>
          </w:tcPr>
          <w:p w14:paraId="3A2ADAF6">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每天检查急停开关动作是否灵敏可靠，动作不灵敏可靠时应及时维修或更换</w:t>
            </w:r>
          </w:p>
        </w:tc>
        <w:tc>
          <w:tcPr>
            <w:tcW w:w="425" w:type="dxa"/>
            <w:tcBorders>
              <w:top w:val="single" w:color="auto" w:sz="4" w:space="0"/>
              <w:left w:val="single" w:color="auto" w:sz="4" w:space="0"/>
              <w:bottom w:val="single" w:color="auto" w:sz="4" w:space="0"/>
              <w:right w:val="single" w:color="auto" w:sz="4" w:space="0"/>
            </w:tcBorders>
            <w:vAlign w:val="center"/>
          </w:tcPr>
          <w:p w14:paraId="18320A3B">
            <w:pPr>
              <w:jc w:val="center"/>
              <w:rPr>
                <w:rFonts w:ascii="宋体" w:hAnsi="宋体"/>
                <w:color w:val="000000" w:themeColor="text1"/>
                <w:sz w:val="18"/>
                <w:szCs w:val="18"/>
              </w:rPr>
            </w:pPr>
            <w:r>
              <w:rPr>
                <w:rFonts w:ascii="宋体" w:hAnsi="宋体"/>
                <w:color w:val="000000" w:themeColor="text1"/>
                <w:sz w:val="18"/>
                <w:szCs w:val="18"/>
              </w:rPr>
              <w:t>5</w:t>
            </w:r>
          </w:p>
        </w:tc>
        <w:tc>
          <w:tcPr>
            <w:tcW w:w="426" w:type="dxa"/>
            <w:tcBorders>
              <w:top w:val="single" w:color="auto" w:sz="4" w:space="0"/>
              <w:left w:val="single" w:color="auto" w:sz="4" w:space="0"/>
              <w:bottom w:val="single" w:color="auto" w:sz="4" w:space="0"/>
              <w:right w:val="single" w:color="auto" w:sz="4" w:space="0"/>
            </w:tcBorders>
            <w:vAlign w:val="center"/>
          </w:tcPr>
          <w:p w14:paraId="52D18185">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14:paraId="02971BCB">
            <w:pPr>
              <w:jc w:val="center"/>
              <w:rPr>
                <w:rFonts w:ascii="宋体" w:hAnsi="宋体"/>
                <w:color w:val="000000" w:themeColor="text1"/>
                <w:sz w:val="18"/>
                <w:szCs w:val="18"/>
              </w:rPr>
            </w:pPr>
            <w:r>
              <w:rPr>
                <w:rFonts w:ascii="宋体" w:hAnsi="宋体"/>
                <w:color w:val="000000" w:themeColor="text1"/>
                <w:sz w:val="18"/>
                <w:szCs w:val="18"/>
              </w:rPr>
              <w:t>25</w:t>
            </w:r>
          </w:p>
        </w:tc>
        <w:tc>
          <w:tcPr>
            <w:tcW w:w="425" w:type="dxa"/>
            <w:tcBorders>
              <w:top w:val="single" w:color="auto" w:sz="4" w:space="0"/>
              <w:left w:val="single" w:color="auto" w:sz="4" w:space="0"/>
              <w:bottom w:val="single" w:color="auto" w:sz="4" w:space="0"/>
              <w:right w:val="single" w:color="auto" w:sz="4" w:space="0"/>
            </w:tcBorders>
            <w:vAlign w:val="center"/>
          </w:tcPr>
          <w:p w14:paraId="0FE4C55C">
            <w:pPr>
              <w:jc w:val="center"/>
              <w:rPr>
                <w:rFonts w:ascii="宋体" w:hAnsi="宋体"/>
                <w:color w:val="000000" w:themeColor="text1"/>
                <w:sz w:val="18"/>
                <w:szCs w:val="18"/>
              </w:rPr>
            </w:pPr>
            <w:r>
              <w:rPr>
                <w:rFonts w:ascii="宋体" w:hAnsi="宋体"/>
                <w:color w:val="000000" w:themeColor="text1"/>
                <w:sz w:val="18"/>
                <w:szCs w:val="18"/>
              </w:rPr>
              <w:t>1</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AC7600C">
            <w:pPr>
              <w:jc w:val="center"/>
              <w:rPr>
                <w:rFonts w:ascii="宋体" w:hAnsi="宋体"/>
                <w:color w:val="000000" w:themeColor="text1"/>
                <w:sz w:val="18"/>
                <w:szCs w:val="18"/>
              </w:rPr>
            </w:pPr>
            <w:r>
              <w:rPr>
                <w:rFonts w:hint="eastAsia" w:ascii="宋体" w:hAnsi="宋体"/>
                <w:color w:val="000000" w:themeColor="text1"/>
                <w:sz w:val="18"/>
                <w:szCs w:val="18"/>
              </w:rPr>
              <w:t>红</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589D4AF">
            <w:pPr>
              <w:widowControl/>
              <w:jc w:val="center"/>
              <w:rPr>
                <w:rFonts w:ascii="宋体" w:hAnsi="宋体"/>
                <w:color w:val="000000" w:themeColor="text1"/>
                <w:kern w:val="0"/>
                <w:sz w:val="18"/>
                <w:szCs w:val="18"/>
              </w:rPr>
            </w:pPr>
          </w:p>
        </w:tc>
      </w:tr>
      <w:tr w14:paraId="70816C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22" w:hRule="atLeast"/>
        </w:trPr>
        <w:tc>
          <w:tcPr>
            <w:tcW w:w="577" w:type="dxa"/>
            <w:tcBorders>
              <w:top w:val="single" w:color="auto" w:sz="4" w:space="0"/>
              <w:left w:val="single" w:color="auto" w:sz="8" w:space="0"/>
              <w:bottom w:val="single" w:color="auto" w:sz="8" w:space="0"/>
              <w:right w:val="single" w:color="auto" w:sz="4" w:space="0"/>
            </w:tcBorders>
            <w:vAlign w:val="center"/>
          </w:tcPr>
          <w:p w14:paraId="08DCB3B7">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42</w:t>
            </w:r>
          </w:p>
        </w:tc>
        <w:tc>
          <w:tcPr>
            <w:tcW w:w="0" w:type="auto"/>
            <w:tcBorders>
              <w:top w:val="nil"/>
              <w:left w:val="single" w:color="auto" w:sz="4" w:space="0"/>
              <w:bottom w:val="single" w:color="auto" w:sz="4" w:space="0"/>
              <w:right w:val="single" w:color="auto" w:sz="4" w:space="0"/>
            </w:tcBorders>
            <w:vAlign w:val="center"/>
          </w:tcPr>
          <w:p w14:paraId="1B18E283">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3EB32914">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司机室</w:t>
            </w:r>
          </w:p>
        </w:tc>
        <w:tc>
          <w:tcPr>
            <w:tcW w:w="4385" w:type="dxa"/>
            <w:tcBorders>
              <w:top w:val="single" w:color="auto" w:sz="4" w:space="0"/>
              <w:left w:val="single" w:color="auto" w:sz="4" w:space="0"/>
              <w:bottom w:val="single" w:color="auto" w:sz="8" w:space="0"/>
              <w:right w:val="single" w:color="auto" w:sz="4" w:space="0"/>
            </w:tcBorders>
            <w:vAlign w:val="center"/>
          </w:tcPr>
          <w:p w14:paraId="3223E2D4">
            <w:pPr>
              <w:numPr>
                <w:ilvl w:val="0"/>
                <w:numId w:val="50"/>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司机室底板绝缘层破损</w:t>
            </w:r>
          </w:p>
          <w:p w14:paraId="33C2F8DB">
            <w:pPr>
              <w:numPr>
                <w:ilvl w:val="0"/>
                <w:numId w:val="5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司机室未配备灭火器或灭火器不在有效期内</w:t>
            </w:r>
          </w:p>
          <w:p w14:paraId="26BBCFD9">
            <w:pPr>
              <w:numPr>
                <w:ilvl w:val="0"/>
                <w:numId w:val="5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司机室玻璃破损</w:t>
            </w:r>
          </w:p>
          <w:p w14:paraId="1DD21A9D">
            <w:pPr>
              <w:numPr>
                <w:ilvl w:val="0"/>
                <w:numId w:val="5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操作手柄动作不灵敏</w:t>
            </w:r>
          </w:p>
          <w:p w14:paraId="25CD9B29">
            <w:pPr>
              <w:numPr>
                <w:ilvl w:val="0"/>
                <w:numId w:val="5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操作按钮标识不清晰</w:t>
            </w:r>
          </w:p>
        </w:tc>
        <w:tc>
          <w:tcPr>
            <w:tcW w:w="1842" w:type="dxa"/>
            <w:tcBorders>
              <w:top w:val="single" w:color="auto" w:sz="4" w:space="0"/>
              <w:left w:val="single" w:color="auto" w:sz="4" w:space="0"/>
              <w:bottom w:val="single" w:color="auto" w:sz="8" w:space="0"/>
              <w:right w:val="single" w:color="auto" w:sz="4" w:space="0"/>
            </w:tcBorders>
            <w:vAlign w:val="center"/>
          </w:tcPr>
          <w:p w14:paraId="68A87DD4">
            <w:pPr>
              <w:pStyle w:val="236"/>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触电、坠落</w:t>
            </w:r>
          </w:p>
        </w:tc>
        <w:tc>
          <w:tcPr>
            <w:tcW w:w="3544" w:type="dxa"/>
            <w:tcBorders>
              <w:top w:val="single" w:color="auto" w:sz="4" w:space="0"/>
              <w:left w:val="single" w:color="auto" w:sz="4" w:space="0"/>
              <w:bottom w:val="single" w:color="auto" w:sz="8" w:space="0"/>
              <w:right w:val="single" w:color="auto" w:sz="4" w:space="0"/>
            </w:tcBorders>
            <w:vAlign w:val="center"/>
          </w:tcPr>
          <w:p w14:paraId="018665F4">
            <w:pPr>
              <w:pStyle w:val="236"/>
              <w:spacing w:before="6" w:beforeAutospacing="0"/>
              <w:ind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安装前应检查整个司机室，确保司机室完整无损，定期检查司机室底板绝缘层和灭火器，确保底板绝缘层完整和灭火器有效；定期检查操作手柄及各个按钮，确保操作手柄动作灵敏，各个按钮标识清晰</w:t>
            </w:r>
          </w:p>
        </w:tc>
        <w:tc>
          <w:tcPr>
            <w:tcW w:w="425" w:type="dxa"/>
            <w:tcBorders>
              <w:top w:val="single" w:color="auto" w:sz="4" w:space="0"/>
              <w:left w:val="single" w:color="auto" w:sz="4" w:space="0"/>
              <w:bottom w:val="single" w:color="auto" w:sz="8" w:space="0"/>
              <w:right w:val="single" w:color="auto" w:sz="4" w:space="0"/>
            </w:tcBorders>
            <w:vAlign w:val="center"/>
          </w:tcPr>
          <w:p w14:paraId="17224524">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4" w:space="0"/>
              <w:left w:val="single" w:color="auto" w:sz="4" w:space="0"/>
              <w:bottom w:val="single" w:color="auto" w:sz="8" w:space="0"/>
              <w:right w:val="single" w:color="auto" w:sz="4" w:space="0"/>
            </w:tcBorders>
            <w:vAlign w:val="center"/>
          </w:tcPr>
          <w:p w14:paraId="512EFCCD">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4" w:space="0"/>
              <w:left w:val="single" w:color="auto" w:sz="4" w:space="0"/>
              <w:bottom w:val="single" w:color="auto" w:sz="8" w:space="0"/>
              <w:right w:val="single" w:color="auto" w:sz="4" w:space="0"/>
            </w:tcBorders>
            <w:vAlign w:val="center"/>
          </w:tcPr>
          <w:p w14:paraId="1E208E6C">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9</w:t>
            </w:r>
          </w:p>
        </w:tc>
        <w:tc>
          <w:tcPr>
            <w:tcW w:w="425" w:type="dxa"/>
            <w:tcBorders>
              <w:top w:val="single" w:color="auto" w:sz="4" w:space="0"/>
              <w:left w:val="single" w:color="auto" w:sz="4" w:space="0"/>
              <w:bottom w:val="single" w:color="auto" w:sz="8" w:space="0"/>
              <w:right w:val="single" w:color="auto" w:sz="4" w:space="0"/>
            </w:tcBorders>
            <w:vAlign w:val="center"/>
          </w:tcPr>
          <w:p w14:paraId="1131FF69">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02B213B">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1722639F">
            <w:pPr>
              <w:widowControl/>
              <w:jc w:val="center"/>
              <w:rPr>
                <w:rFonts w:ascii="宋体" w:hAnsi="宋体"/>
                <w:color w:val="000000" w:themeColor="text1"/>
                <w:kern w:val="0"/>
                <w:sz w:val="18"/>
                <w:szCs w:val="18"/>
              </w:rPr>
            </w:pPr>
          </w:p>
        </w:tc>
      </w:tr>
    </w:tbl>
    <w:p w14:paraId="5A62476D">
      <w:pPr>
        <w:pStyle w:val="58"/>
        <w:ind w:left="0" w:leftChars="0" w:firstLine="0" w:firstLineChars="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1276"/>
        <w:gridCol w:w="4385"/>
        <w:gridCol w:w="1842"/>
        <w:gridCol w:w="3544"/>
        <w:gridCol w:w="425"/>
        <w:gridCol w:w="426"/>
        <w:gridCol w:w="425"/>
        <w:gridCol w:w="425"/>
        <w:gridCol w:w="425"/>
        <w:gridCol w:w="548"/>
      </w:tblGrid>
      <w:tr w14:paraId="6EDD9F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7F85289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tcBorders>
              <w:top w:val="single" w:color="auto" w:sz="8" w:space="0"/>
              <w:left w:val="single" w:color="auto" w:sz="4" w:space="0"/>
              <w:bottom w:val="single" w:color="auto" w:sz="8" w:space="0"/>
              <w:right w:val="single" w:color="auto" w:sz="4" w:space="0"/>
            </w:tcBorders>
            <w:vAlign w:val="center"/>
          </w:tcPr>
          <w:p w14:paraId="5D6552C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749DC28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27C4776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3DC1B0C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50C2F345">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1F17795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3334CFFF">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41CBCA7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6D46124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7FB7DB3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45A379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4A6C99F9">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43</w:t>
            </w:r>
          </w:p>
        </w:tc>
        <w:tc>
          <w:tcPr>
            <w:tcW w:w="1276" w:type="dxa"/>
            <w:tcBorders>
              <w:top w:val="single" w:color="auto" w:sz="8" w:space="0"/>
              <w:left w:val="single" w:color="auto" w:sz="4" w:space="0"/>
              <w:bottom w:val="single" w:color="auto" w:sz="8" w:space="0"/>
              <w:right w:val="single" w:color="auto" w:sz="4" w:space="0"/>
            </w:tcBorders>
            <w:vAlign w:val="center"/>
          </w:tcPr>
          <w:p w14:paraId="6DCF9F66">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制动器</w:t>
            </w:r>
          </w:p>
        </w:tc>
        <w:tc>
          <w:tcPr>
            <w:tcW w:w="4385" w:type="dxa"/>
            <w:tcBorders>
              <w:top w:val="single" w:color="auto" w:sz="8" w:space="0"/>
              <w:left w:val="single" w:color="auto" w:sz="4" w:space="0"/>
              <w:bottom w:val="single" w:color="auto" w:sz="8" w:space="0"/>
              <w:right w:val="single" w:color="auto" w:sz="4" w:space="0"/>
            </w:tcBorders>
            <w:vAlign w:val="center"/>
          </w:tcPr>
          <w:p w14:paraId="516895D7">
            <w:pPr>
              <w:widowControl/>
              <w:numPr>
                <w:ilvl w:val="0"/>
                <w:numId w:val="51"/>
              </w:numPr>
              <w:jc w:val="left"/>
              <w:rPr>
                <w:rFonts w:hint="eastAsia"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制动器零件有可见裂纹</w:t>
            </w:r>
          </w:p>
          <w:p w14:paraId="5FDFBBA9">
            <w:pPr>
              <w:widowControl/>
              <w:numPr>
                <w:ilvl w:val="0"/>
                <w:numId w:val="51"/>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制动块摩擦衬垫磨损量达元厚度的50%</w:t>
            </w:r>
          </w:p>
          <w:p w14:paraId="26073B2D">
            <w:pPr>
              <w:widowControl/>
              <w:numPr>
                <w:ilvl w:val="0"/>
                <w:numId w:val="51"/>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制动轮表面磨损量达1.5mm～2mm</w:t>
            </w:r>
          </w:p>
          <w:p w14:paraId="4E7D76C9">
            <w:pPr>
              <w:widowControl/>
              <w:numPr>
                <w:ilvl w:val="0"/>
                <w:numId w:val="51"/>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弹簧塑性变形</w:t>
            </w:r>
          </w:p>
          <w:p w14:paraId="7BC3AE09">
            <w:pPr>
              <w:widowControl/>
              <w:numPr>
                <w:ilvl w:val="0"/>
                <w:numId w:val="51"/>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电磁铁杠杆系统空行程超过其额定行程的10%</w:t>
            </w:r>
          </w:p>
        </w:tc>
        <w:tc>
          <w:tcPr>
            <w:tcW w:w="1842" w:type="dxa"/>
            <w:tcBorders>
              <w:top w:val="single" w:color="auto" w:sz="8" w:space="0"/>
              <w:left w:val="single" w:color="auto" w:sz="4" w:space="0"/>
              <w:bottom w:val="single" w:color="auto" w:sz="8" w:space="0"/>
              <w:right w:val="single" w:color="auto" w:sz="4" w:space="0"/>
            </w:tcBorders>
            <w:vAlign w:val="center"/>
          </w:tcPr>
          <w:p w14:paraId="0EB5F807">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坠落</w:t>
            </w:r>
          </w:p>
        </w:tc>
        <w:tc>
          <w:tcPr>
            <w:tcW w:w="3544" w:type="dxa"/>
            <w:tcBorders>
              <w:top w:val="single" w:color="auto" w:sz="8" w:space="0"/>
              <w:left w:val="single" w:color="auto" w:sz="4" w:space="0"/>
              <w:bottom w:val="single" w:color="auto" w:sz="8" w:space="0"/>
              <w:right w:val="single" w:color="auto" w:sz="4" w:space="0"/>
            </w:tcBorders>
            <w:vAlign w:val="center"/>
          </w:tcPr>
          <w:p w14:paraId="7A68F141">
            <w:pPr>
              <w:widowControl/>
              <w:jc w:val="left"/>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定期检查制动器各个零件是否有裂纹，必要时用20倍放大镜或表面探伤辅助检查，当制动器零部件达到报废标准时应及时停用并更换相应零部件</w:t>
            </w:r>
          </w:p>
        </w:tc>
        <w:tc>
          <w:tcPr>
            <w:tcW w:w="425" w:type="dxa"/>
            <w:tcBorders>
              <w:top w:val="single" w:color="auto" w:sz="8" w:space="0"/>
              <w:left w:val="single" w:color="auto" w:sz="4" w:space="0"/>
              <w:bottom w:val="single" w:color="auto" w:sz="8" w:space="0"/>
              <w:right w:val="single" w:color="auto" w:sz="4" w:space="0"/>
            </w:tcBorders>
            <w:vAlign w:val="center"/>
          </w:tcPr>
          <w:p w14:paraId="1819351B">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3</w:t>
            </w:r>
          </w:p>
        </w:tc>
        <w:tc>
          <w:tcPr>
            <w:tcW w:w="426" w:type="dxa"/>
            <w:tcBorders>
              <w:top w:val="single" w:color="auto" w:sz="8" w:space="0"/>
              <w:left w:val="single" w:color="auto" w:sz="4" w:space="0"/>
              <w:bottom w:val="single" w:color="auto" w:sz="8" w:space="0"/>
              <w:right w:val="single" w:color="auto" w:sz="4" w:space="0"/>
            </w:tcBorders>
            <w:vAlign w:val="center"/>
          </w:tcPr>
          <w:p w14:paraId="70C1B278">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47C6FDD4">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12</w:t>
            </w:r>
          </w:p>
        </w:tc>
        <w:tc>
          <w:tcPr>
            <w:tcW w:w="425" w:type="dxa"/>
            <w:tcBorders>
              <w:top w:val="single" w:color="auto" w:sz="8" w:space="0"/>
              <w:left w:val="single" w:color="auto" w:sz="4" w:space="0"/>
              <w:bottom w:val="single" w:color="auto" w:sz="8" w:space="0"/>
              <w:right w:val="single" w:color="auto" w:sz="4" w:space="0"/>
            </w:tcBorders>
            <w:vAlign w:val="center"/>
          </w:tcPr>
          <w:p w14:paraId="301EEA23">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3</w:t>
            </w:r>
          </w:p>
        </w:tc>
        <w:tc>
          <w:tcPr>
            <w:tcW w:w="425" w:type="dxa"/>
            <w:tcBorders>
              <w:top w:val="single" w:color="auto" w:sz="8" w:space="0"/>
              <w:left w:val="single" w:color="auto" w:sz="4" w:space="0"/>
              <w:bottom w:val="single" w:color="auto" w:sz="8" w:space="0"/>
              <w:right w:val="single" w:color="auto" w:sz="4" w:space="0"/>
            </w:tcBorders>
            <w:vAlign w:val="center"/>
          </w:tcPr>
          <w:p w14:paraId="4B4C6A4F">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黄</w:t>
            </w:r>
          </w:p>
        </w:tc>
        <w:tc>
          <w:tcPr>
            <w:tcW w:w="548" w:type="dxa"/>
            <w:tcBorders>
              <w:top w:val="single" w:color="auto" w:sz="8" w:space="0"/>
              <w:left w:val="single" w:color="auto" w:sz="4" w:space="0"/>
              <w:bottom w:val="single" w:color="auto" w:sz="8" w:space="0"/>
              <w:right w:val="single" w:color="auto" w:sz="8" w:space="0"/>
            </w:tcBorders>
            <w:vAlign w:val="center"/>
          </w:tcPr>
          <w:p w14:paraId="410221D0">
            <w:pPr>
              <w:widowControl/>
              <w:jc w:val="center"/>
              <w:rPr>
                <w:rFonts w:hint="eastAsia" w:ascii="宋体" w:hAnsi="宋体"/>
                <w:bCs/>
                <w:color w:val="000000" w:themeColor="text1"/>
                <w:kern w:val="0"/>
                <w:sz w:val="18"/>
                <w:szCs w:val="18"/>
              </w:rPr>
            </w:pPr>
          </w:p>
        </w:tc>
      </w:tr>
      <w:tr w14:paraId="71740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048A40C5">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44</w:t>
            </w:r>
          </w:p>
        </w:tc>
        <w:tc>
          <w:tcPr>
            <w:tcW w:w="1276" w:type="dxa"/>
            <w:tcBorders>
              <w:top w:val="single" w:color="auto" w:sz="8" w:space="0"/>
              <w:left w:val="single" w:color="auto" w:sz="4" w:space="0"/>
              <w:bottom w:val="single" w:color="auto" w:sz="8" w:space="0"/>
              <w:right w:val="single" w:color="auto" w:sz="4" w:space="0"/>
            </w:tcBorders>
            <w:vAlign w:val="center"/>
          </w:tcPr>
          <w:p w14:paraId="65F16E4F">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车轮</w:t>
            </w:r>
          </w:p>
        </w:tc>
        <w:tc>
          <w:tcPr>
            <w:tcW w:w="4385" w:type="dxa"/>
            <w:tcBorders>
              <w:top w:val="single" w:color="auto" w:sz="8" w:space="0"/>
              <w:left w:val="single" w:color="auto" w:sz="4" w:space="0"/>
              <w:bottom w:val="single" w:color="auto" w:sz="8" w:space="0"/>
              <w:right w:val="single" w:color="auto" w:sz="4" w:space="0"/>
            </w:tcBorders>
            <w:vAlign w:val="center"/>
          </w:tcPr>
          <w:p w14:paraId="3EED7DBD">
            <w:pPr>
              <w:widowControl/>
              <w:numPr>
                <w:ilvl w:val="0"/>
                <w:numId w:val="52"/>
              </w:numPr>
              <w:jc w:val="left"/>
              <w:rPr>
                <w:rFonts w:hint="eastAsia"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车轮有可见裂纹</w:t>
            </w:r>
          </w:p>
          <w:p w14:paraId="465A4837">
            <w:pPr>
              <w:widowControl/>
              <w:numPr>
                <w:ilvl w:val="0"/>
                <w:numId w:val="52"/>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车轮踏面厚度磨损量达原厚度的15%</w:t>
            </w:r>
          </w:p>
          <w:p w14:paraId="17944E5E">
            <w:pPr>
              <w:widowControl/>
              <w:numPr>
                <w:ilvl w:val="0"/>
                <w:numId w:val="52"/>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车轮轮缘厚度磨损量达原厚度的50%</w:t>
            </w:r>
          </w:p>
        </w:tc>
        <w:tc>
          <w:tcPr>
            <w:tcW w:w="1842" w:type="dxa"/>
            <w:tcBorders>
              <w:top w:val="single" w:color="auto" w:sz="8" w:space="0"/>
              <w:left w:val="single" w:color="auto" w:sz="4" w:space="0"/>
              <w:bottom w:val="single" w:color="auto" w:sz="8" w:space="0"/>
              <w:right w:val="single" w:color="auto" w:sz="4" w:space="0"/>
            </w:tcBorders>
            <w:vAlign w:val="center"/>
          </w:tcPr>
          <w:p w14:paraId="2CFC0BC9">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坠落</w:t>
            </w:r>
          </w:p>
        </w:tc>
        <w:tc>
          <w:tcPr>
            <w:tcW w:w="3544" w:type="dxa"/>
            <w:tcBorders>
              <w:top w:val="single" w:color="auto" w:sz="8" w:space="0"/>
              <w:left w:val="single" w:color="auto" w:sz="4" w:space="0"/>
              <w:bottom w:val="single" w:color="auto" w:sz="8" w:space="0"/>
              <w:right w:val="single" w:color="auto" w:sz="4" w:space="0"/>
            </w:tcBorders>
            <w:vAlign w:val="center"/>
          </w:tcPr>
          <w:p w14:paraId="40498685">
            <w:pPr>
              <w:widowControl/>
              <w:jc w:val="left"/>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定期检查车轮是否有可见裂纹，必要时用20倍放大镜或表面探伤辅助检查，当车轮有裂纹时应及时停用并更换车轮，当车轮磨损量达到报废标准时，也应及时停用并更换车轮</w:t>
            </w:r>
          </w:p>
        </w:tc>
        <w:tc>
          <w:tcPr>
            <w:tcW w:w="425" w:type="dxa"/>
            <w:tcBorders>
              <w:top w:val="single" w:color="auto" w:sz="8" w:space="0"/>
              <w:left w:val="single" w:color="auto" w:sz="4" w:space="0"/>
              <w:bottom w:val="single" w:color="auto" w:sz="8" w:space="0"/>
              <w:right w:val="single" w:color="auto" w:sz="4" w:space="0"/>
            </w:tcBorders>
            <w:vAlign w:val="center"/>
          </w:tcPr>
          <w:p w14:paraId="403800D3">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3</w:t>
            </w:r>
          </w:p>
        </w:tc>
        <w:tc>
          <w:tcPr>
            <w:tcW w:w="426" w:type="dxa"/>
            <w:tcBorders>
              <w:top w:val="single" w:color="auto" w:sz="8" w:space="0"/>
              <w:left w:val="single" w:color="auto" w:sz="4" w:space="0"/>
              <w:bottom w:val="single" w:color="auto" w:sz="8" w:space="0"/>
              <w:right w:val="single" w:color="auto" w:sz="4" w:space="0"/>
            </w:tcBorders>
            <w:vAlign w:val="center"/>
          </w:tcPr>
          <w:p w14:paraId="6A8F0E42">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140191F1">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12</w:t>
            </w:r>
          </w:p>
        </w:tc>
        <w:tc>
          <w:tcPr>
            <w:tcW w:w="425" w:type="dxa"/>
            <w:tcBorders>
              <w:top w:val="single" w:color="auto" w:sz="8" w:space="0"/>
              <w:left w:val="single" w:color="auto" w:sz="4" w:space="0"/>
              <w:bottom w:val="single" w:color="auto" w:sz="8" w:space="0"/>
              <w:right w:val="single" w:color="auto" w:sz="4" w:space="0"/>
            </w:tcBorders>
            <w:vAlign w:val="center"/>
          </w:tcPr>
          <w:p w14:paraId="29FF15CA">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3</w:t>
            </w:r>
          </w:p>
        </w:tc>
        <w:tc>
          <w:tcPr>
            <w:tcW w:w="425" w:type="dxa"/>
            <w:tcBorders>
              <w:top w:val="single" w:color="auto" w:sz="8" w:space="0"/>
              <w:left w:val="single" w:color="auto" w:sz="4" w:space="0"/>
              <w:bottom w:val="single" w:color="auto" w:sz="8" w:space="0"/>
              <w:right w:val="single" w:color="auto" w:sz="4" w:space="0"/>
            </w:tcBorders>
            <w:vAlign w:val="center"/>
          </w:tcPr>
          <w:p w14:paraId="7D6C46E7">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黄</w:t>
            </w:r>
          </w:p>
        </w:tc>
        <w:tc>
          <w:tcPr>
            <w:tcW w:w="548" w:type="dxa"/>
            <w:tcBorders>
              <w:top w:val="single" w:color="auto" w:sz="8" w:space="0"/>
              <w:left w:val="single" w:color="auto" w:sz="4" w:space="0"/>
              <w:bottom w:val="single" w:color="auto" w:sz="8" w:space="0"/>
              <w:right w:val="single" w:color="auto" w:sz="8" w:space="0"/>
            </w:tcBorders>
            <w:vAlign w:val="center"/>
          </w:tcPr>
          <w:p w14:paraId="308DE472">
            <w:pPr>
              <w:widowControl/>
              <w:jc w:val="center"/>
              <w:rPr>
                <w:rFonts w:hint="eastAsia" w:ascii="宋体" w:hAnsi="宋体"/>
                <w:bCs/>
                <w:color w:val="000000" w:themeColor="text1"/>
                <w:kern w:val="0"/>
                <w:sz w:val="18"/>
                <w:szCs w:val="18"/>
              </w:rPr>
            </w:pPr>
          </w:p>
        </w:tc>
      </w:tr>
      <w:tr w14:paraId="68B38B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44F1A592">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45</w:t>
            </w:r>
          </w:p>
        </w:tc>
        <w:tc>
          <w:tcPr>
            <w:tcW w:w="1276" w:type="dxa"/>
            <w:tcBorders>
              <w:top w:val="single" w:color="auto" w:sz="8" w:space="0"/>
              <w:left w:val="single" w:color="auto" w:sz="4" w:space="0"/>
              <w:bottom w:val="single" w:color="auto" w:sz="8" w:space="0"/>
              <w:right w:val="single" w:color="auto" w:sz="4" w:space="0"/>
            </w:tcBorders>
            <w:vAlign w:val="center"/>
          </w:tcPr>
          <w:p w14:paraId="0645657D">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错相与断相保护</w:t>
            </w:r>
          </w:p>
        </w:tc>
        <w:tc>
          <w:tcPr>
            <w:tcW w:w="4385" w:type="dxa"/>
            <w:tcBorders>
              <w:top w:val="single" w:color="auto" w:sz="8" w:space="0"/>
              <w:left w:val="single" w:color="auto" w:sz="4" w:space="0"/>
              <w:bottom w:val="single" w:color="auto" w:sz="8" w:space="0"/>
              <w:right w:val="single" w:color="auto" w:sz="4" w:space="0"/>
            </w:tcBorders>
            <w:vAlign w:val="center"/>
          </w:tcPr>
          <w:p w14:paraId="2A43F1C4">
            <w:pPr>
              <w:widowControl/>
              <w:numPr>
                <w:ilvl w:val="0"/>
                <w:numId w:val="53"/>
              </w:numPr>
              <w:jc w:val="left"/>
              <w:rPr>
                <w:rFonts w:hint="eastAsia"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错相与段相保护装置未设置或短接</w:t>
            </w:r>
          </w:p>
          <w:p w14:paraId="376880D6">
            <w:pPr>
              <w:widowControl/>
              <w:numPr>
                <w:ilvl w:val="0"/>
                <w:numId w:val="0"/>
              </w:numPr>
              <w:jc w:val="left"/>
              <w:rPr>
                <w:rFonts w:hint="default" w:ascii="宋体" w:hAnsi="宋体"/>
                <w:bCs/>
                <w:color w:val="000000" w:themeColor="text1"/>
                <w:kern w:val="0"/>
                <w:sz w:val="18"/>
                <w:szCs w:val="18"/>
                <w:lang w:val="en-US" w:eastAsia="zh-CN"/>
              </w:rPr>
            </w:pPr>
          </w:p>
        </w:tc>
        <w:tc>
          <w:tcPr>
            <w:tcW w:w="1842" w:type="dxa"/>
            <w:tcBorders>
              <w:top w:val="single" w:color="auto" w:sz="8" w:space="0"/>
              <w:left w:val="single" w:color="auto" w:sz="4" w:space="0"/>
              <w:bottom w:val="single" w:color="auto" w:sz="8" w:space="0"/>
              <w:right w:val="single" w:color="auto" w:sz="4" w:space="0"/>
            </w:tcBorders>
            <w:vAlign w:val="center"/>
          </w:tcPr>
          <w:p w14:paraId="2D4091FE">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故障</w:t>
            </w:r>
          </w:p>
        </w:tc>
        <w:tc>
          <w:tcPr>
            <w:tcW w:w="3544" w:type="dxa"/>
            <w:tcBorders>
              <w:top w:val="single" w:color="auto" w:sz="8" w:space="0"/>
              <w:left w:val="single" w:color="auto" w:sz="4" w:space="0"/>
              <w:bottom w:val="single" w:color="auto" w:sz="8" w:space="0"/>
              <w:right w:val="single" w:color="auto" w:sz="4" w:space="0"/>
            </w:tcBorders>
            <w:vAlign w:val="center"/>
          </w:tcPr>
          <w:p w14:paraId="5BA42C0F">
            <w:pPr>
              <w:widowControl/>
              <w:jc w:val="left"/>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安装时，应将错相与段相保护装置安装规定正确安装，确保错相与段相保护正确安装并有效</w:t>
            </w:r>
          </w:p>
        </w:tc>
        <w:tc>
          <w:tcPr>
            <w:tcW w:w="425" w:type="dxa"/>
            <w:tcBorders>
              <w:top w:val="single" w:color="auto" w:sz="8" w:space="0"/>
              <w:left w:val="single" w:color="auto" w:sz="4" w:space="0"/>
              <w:bottom w:val="single" w:color="auto" w:sz="8" w:space="0"/>
              <w:right w:val="single" w:color="auto" w:sz="4" w:space="0"/>
            </w:tcBorders>
            <w:vAlign w:val="center"/>
          </w:tcPr>
          <w:p w14:paraId="72109C16">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2</w:t>
            </w:r>
          </w:p>
        </w:tc>
        <w:tc>
          <w:tcPr>
            <w:tcW w:w="426" w:type="dxa"/>
            <w:tcBorders>
              <w:top w:val="single" w:color="auto" w:sz="8" w:space="0"/>
              <w:left w:val="single" w:color="auto" w:sz="4" w:space="0"/>
              <w:bottom w:val="single" w:color="auto" w:sz="8" w:space="0"/>
              <w:right w:val="single" w:color="auto" w:sz="4" w:space="0"/>
            </w:tcBorders>
            <w:vAlign w:val="center"/>
          </w:tcPr>
          <w:p w14:paraId="294359E5">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34615AC4">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8</w:t>
            </w:r>
          </w:p>
        </w:tc>
        <w:tc>
          <w:tcPr>
            <w:tcW w:w="425" w:type="dxa"/>
            <w:tcBorders>
              <w:top w:val="single" w:color="auto" w:sz="8" w:space="0"/>
              <w:left w:val="single" w:color="auto" w:sz="4" w:space="0"/>
              <w:bottom w:val="single" w:color="auto" w:sz="8" w:space="0"/>
              <w:right w:val="single" w:color="auto" w:sz="4" w:space="0"/>
            </w:tcBorders>
            <w:vAlign w:val="center"/>
          </w:tcPr>
          <w:p w14:paraId="6F9BFBC8">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3832551F">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蓝</w:t>
            </w:r>
          </w:p>
        </w:tc>
        <w:tc>
          <w:tcPr>
            <w:tcW w:w="548" w:type="dxa"/>
            <w:tcBorders>
              <w:top w:val="single" w:color="auto" w:sz="8" w:space="0"/>
              <w:left w:val="single" w:color="auto" w:sz="4" w:space="0"/>
              <w:bottom w:val="single" w:color="auto" w:sz="8" w:space="0"/>
              <w:right w:val="single" w:color="auto" w:sz="8" w:space="0"/>
            </w:tcBorders>
            <w:vAlign w:val="center"/>
          </w:tcPr>
          <w:p w14:paraId="2F4FF2EA">
            <w:pPr>
              <w:widowControl/>
              <w:jc w:val="center"/>
              <w:rPr>
                <w:rFonts w:hint="eastAsia" w:ascii="宋体" w:hAnsi="宋体"/>
                <w:bCs/>
                <w:color w:val="000000" w:themeColor="text1"/>
                <w:kern w:val="0"/>
                <w:sz w:val="18"/>
                <w:szCs w:val="18"/>
              </w:rPr>
            </w:pPr>
          </w:p>
        </w:tc>
      </w:tr>
      <w:tr w14:paraId="78A9FD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2F5DB153">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46</w:t>
            </w:r>
          </w:p>
        </w:tc>
        <w:tc>
          <w:tcPr>
            <w:tcW w:w="1276" w:type="dxa"/>
            <w:tcBorders>
              <w:top w:val="single" w:color="auto" w:sz="8" w:space="0"/>
              <w:left w:val="single" w:color="auto" w:sz="4" w:space="0"/>
              <w:bottom w:val="single" w:color="auto" w:sz="8" w:space="0"/>
              <w:right w:val="single" w:color="auto" w:sz="4" w:space="0"/>
            </w:tcBorders>
            <w:vAlign w:val="center"/>
          </w:tcPr>
          <w:p w14:paraId="1B7FF00A">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零位保护</w:t>
            </w:r>
          </w:p>
        </w:tc>
        <w:tc>
          <w:tcPr>
            <w:tcW w:w="4385" w:type="dxa"/>
            <w:tcBorders>
              <w:top w:val="single" w:color="auto" w:sz="8" w:space="0"/>
              <w:left w:val="single" w:color="auto" w:sz="4" w:space="0"/>
              <w:bottom w:val="single" w:color="auto" w:sz="8" w:space="0"/>
              <w:right w:val="single" w:color="auto" w:sz="4" w:space="0"/>
            </w:tcBorders>
            <w:vAlign w:val="center"/>
          </w:tcPr>
          <w:p w14:paraId="262B01B3">
            <w:pPr>
              <w:widowControl/>
              <w:numPr>
                <w:ilvl w:val="0"/>
                <w:numId w:val="54"/>
              </w:numPr>
              <w:jc w:val="left"/>
              <w:rPr>
                <w:rFonts w:hint="eastAsia"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零位保护未接入控制电路</w:t>
            </w:r>
          </w:p>
          <w:p w14:paraId="61C07635">
            <w:pPr>
              <w:widowControl/>
              <w:numPr>
                <w:ilvl w:val="0"/>
                <w:numId w:val="54"/>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零位保护失效</w:t>
            </w:r>
          </w:p>
        </w:tc>
        <w:tc>
          <w:tcPr>
            <w:tcW w:w="1842" w:type="dxa"/>
            <w:tcBorders>
              <w:top w:val="single" w:color="auto" w:sz="8" w:space="0"/>
              <w:left w:val="single" w:color="auto" w:sz="4" w:space="0"/>
              <w:bottom w:val="single" w:color="auto" w:sz="8" w:space="0"/>
              <w:right w:val="single" w:color="auto" w:sz="4" w:space="0"/>
            </w:tcBorders>
            <w:vAlign w:val="center"/>
          </w:tcPr>
          <w:p w14:paraId="51E13C83">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故障、坠落、碰撞</w:t>
            </w:r>
          </w:p>
        </w:tc>
        <w:tc>
          <w:tcPr>
            <w:tcW w:w="3544" w:type="dxa"/>
            <w:tcBorders>
              <w:top w:val="single" w:color="auto" w:sz="8" w:space="0"/>
              <w:left w:val="single" w:color="auto" w:sz="4" w:space="0"/>
              <w:bottom w:val="single" w:color="auto" w:sz="8" w:space="0"/>
              <w:right w:val="single" w:color="auto" w:sz="4" w:space="0"/>
            </w:tcBorders>
            <w:vAlign w:val="center"/>
          </w:tcPr>
          <w:p w14:paraId="3BDB8909">
            <w:pPr>
              <w:widowControl/>
              <w:jc w:val="left"/>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安装时，应按照规定将零位保护正确接入控制电路并确保有效</w:t>
            </w:r>
          </w:p>
        </w:tc>
        <w:tc>
          <w:tcPr>
            <w:tcW w:w="425" w:type="dxa"/>
            <w:tcBorders>
              <w:top w:val="single" w:color="auto" w:sz="8" w:space="0"/>
              <w:left w:val="single" w:color="auto" w:sz="4" w:space="0"/>
              <w:bottom w:val="single" w:color="auto" w:sz="8" w:space="0"/>
              <w:right w:val="single" w:color="auto" w:sz="4" w:space="0"/>
            </w:tcBorders>
            <w:vAlign w:val="center"/>
          </w:tcPr>
          <w:p w14:paraId="3E475454">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2</w:t>
            </w:r>
          </w:p>
        </w:tc>
        <w:tc>
          <w:tcPr>
            <w:tcW w:w="426" w:type="dxa"/>
            <w:tcBorders>
              <w:top w:val="single" w:color="auto" w:sz="8" w:space="0"/>
              <w:left w:val="single" w:color="auto" w:sz="4" w:space="0"/>
              <w:bottom w:val="single" w:color="auto" w:sz="8" w:space="0"/>
              <w:right w:val="single" w:color="auto" w:sz="4" w:space="0"/>
            </w:tcBorders>
            <w:vAlign w:val="center"/>
          </w:tcPr>
          <w:p w14:paraId="76C6B509">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53D72CC7">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8</w:t>
            </w:r>
          </w:p>
        </w:tc>
        <w:tc>
          <w:tcPr>
            <w:tcW w:w="425" w:type="dxa"/>
            <w:tcBorders>
              <w:top w:val="single" w:color="auto" w:sz="8" w:space="0"/>
              <w:left w:val="single" w:color="auto" w:sz="4" w:space="0"/>
              <w:bottom w:val="single" w:color="auto" w:sz="8" w:space="0"/>
              <w:right w:val="single" w:color="auto" w:sz="4" w:space="0"/>
            </w:tcBorders>
            <w:vAlign w:val="center"/>
          </w:tcPr>
          <w:p w14:paraId="15ED813E">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3994622D">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蓝</w:t>
            </w:r>
          </w:p>
        </w:tc>
        <w:tc>
          <w:tcPr>
            <w:tcW w:w="548" w:type="dxa"/>
            <w:tcBorders>
              <w:top w:val="single" w:color="auto" w:sz="8" w:space="0"/>
              <w:left w:val="single" w:color="auto" w:sz="4" w:space="0"/>
              <w:bottom w:val="single" w:color="auto" w:sz="8" w:space="0"/>
              <w:right w:val="single" w:color="auto" w:sz="8" w:space="0"/>
            </w:tcBorders>
            <w:vAlign w:val="center"/>
          </w:tcPr>
          <w:p w14:paraId="60E31537">
            <w:pPr>
              <w:widowControl/>
              <w:jc w:val="center"/>
              <w:rPr>
                <w:rFonts w:hint="eastAsia" w:ascii="宋体" w:hAnsi="宋体"/>
                <w:bCs/>
                <w:color w:val="000000" w:themeColor="text1"/>
                <w:kern w:val="0"/>
                <w:sz w:val="18"/>
                <w:szCs w:val="18"/>
              </w:rPr>
            </w:pPr>
          </w:p>
        </w:tc>
      </w:tr>
      <w:tr w14:paraId="6BC3C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09F5932F">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47</w:t>
            </w:r>
          </w:p>
        </w:tc>
        <w:tc>
          <w:tcPr>
            <w:tcW w:w="1276" w:type="dxa"/>
            <w:tcBorders>
              <w:top w:val="single" w:color="auto" w:sz="8" w:space="0"/>
              <w:left w:val="single" w:color="auto" w:sz="4" w:space="0"/>
              <w:bottom w:val="single" w:color="auto" w:sz="8" w:space="0"/>
              <w:right w:val="single" w:color="auto" w:sz="4" w:space="0"/>
            </w:tcBorders>
            <w:vAlign w:val="center"/>
          </w:tcPr>
          <w:p w14:paraId="43E31893">
            <w:pPr>
              <w:widowControl/>
              <w:jc w:val="center"/>
              <w:rPr>
                <w:rFonts w:hint="default"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欠压与过压保护</w:t>
            </w:r>
          </w:p>
        </w:tc>
        <w:tc>
          <w:tcPr>
            <w:tcW w:w="4385" w:type="dxa"/>
            <w:tcBorders>
              <w:top w:val="single" w:color="auto" w:sz="8" w:space="0"/>
              <w:left w:val="single" w:color="auto" w:sz="4" w:space="0"/>
              <w:bottom w:val="single" w:color="auto" w:sz="8" w:space="0"/>
              <w:right w:val="single" w:color="auto" w:sz="4" w:space="0"/>
            </w:tcBorders>
            <w:vAlign w:val="center"/>
          </w:tcPr>
          <w:p w14:paraId="1AEC6996">
            <w:pPr>
              <w:widowControl/>
              <w:numPr>
                <w:ilvl w:val="0"/>
                <w:numId w:val="55"/>
              </w:numPr>
              <w:jc w:val="left"/>
              <w:rPr>
                <w:rFonts w:hint="eastAsia"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欠压与过压保护未接入控制电路</w:t>
            </w:r>
          </w:p>
          <w:p w14:paraId="42304A0D">
            <w:pPr>
              <w:widowControl/>
              <w:numPr>
                <w:ilvl w:val="0"/>
                <w:numId w:val="55"/>
              </w:numPr>
              <w:jc w:val="left"/>
              <w:rPr>
                <w:rFonts w:hint="default" w:ascii="宋体" w:hAnsi="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欠压与过压保护失效</w:t>
            </w:r>
          </w:p>
        </w:tc>
        <w:tc>
          <w:tcPr>
            <w:tcW w:w="1842" w:type="dxa"/>
            <w:tcBorders>
              <w:top w:val="single" w:color="auto" w:sz="8" w:space="0"/>
              <w:left w:val="single" w:color="auto" w:sz="4" w:space="0"/>
              <w:bottom w:val="single" w:color="auto" w:sz="8" w:space="0"/>
              <w:right w:val="single" w:color="auto" w:sz="4" w:space="0"/>
            </w:tcBorders>
            <w:vAlign w:val="center"/>
          </w:tcPr>
          <w:p w14:paraId="432CAEDE">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故障</w:t>
            </w:r>
          </w:p>
        </w:tc>
        <w:tc>
          <w:tcPr>
            <w:tcW w:w="3544" w:type="dxa"/>
            <w:tcBorders>
              <w:top w:val="single" w:color="auto" w:sz="8" w:space="0"/>
              <w:left w:val="single" w:color="auto" w:sz="4" w:space="0"/>
              <w:bottom w:val="single" w:color="auto" w:sz="8" w:space="0"/>
              <w:right w:val="single" w:color="auto" w:sz="4" w:space="0"/>
            </w:tcBorders>
            <w:vAlign w:val="center"/>
          </w:tcPr>
          <w:p w14:paraId="656CD029">
            <w:pPr>
              <w:widowControl/>
              <w:jc w:val="left"/>
              <w:rPr>
                <w:rFonts w:hint="eastAsia" w:ascii="宋体" w:hAnsi="宋体"/>
                <w:bCs/>
                <w:color w:val="000000" w:themeColor="text1"/>
                <w:kern w:val="0"/>
                <w:sz w:val="18"/>
                <w:szCs w:val="18"/>
              </w:rPr>
            </w:pPr>
            <w:r>
              <w:rPr>
                <w:rFonts w:hint="eastAsia" w:ascii="宋体" w:hAnsi="宋体"/>
                <w:bCs/>
                <w:color w:val="000000" w:themeColor="text1"/>
                <w:kern w:val="0"/>
                <w:sz w:val="18"/>
                <w:szCs w:val="18"/>
                <w:lang w:val="en-US" w:eastAsia="zh-CN"/>
              </w:rPr>
              <w:t>安装时，应按照规定将欠压与过压保护正确接入控制电路并确保有效</w:t>
            </w:r>
          </w:p>
        </w:tc>
        <w:tc>
          <w:tcPr>
            <w:tcW w:w="425" w:type="dxa"/>
            <w:tcBorders>
              <w:top w:val="single" w:color="auto" w:sz="8" w:space="0"/>
              <w:left w:val="single" w:color="auto" w:sz="4" w:space="0"/>
              <w:bottom w:val="single" w:color="auto" w:sz="8" w:space="0"/>
              <w:right w:val="single" w:color="auto" w:sz="4" w:space="0"/>
            </w:tcBorders>
            <w:vAlign w:val="center"/>
          </w:tcPr>
          <w:p w14:paraId="686B8A14">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2</w:t>
            </w:r>
          </w:p>
        </w:tc>
        <w:tc>
          <w:tcPr>
            <w:tcW w:w="426" w:type="dxa"/>
            <w:tcBorders>
              <w:top w:val="single" w:color="auto" w:sz="8" w:space="0"/>
              <w:left w:val="single" w:color="auto" w:sz="4" w:space="0"/>
              <w:bottom w:val="single" w:color="auto" w:sz="8" w:space="0"/>
              <w:right w:val="single" w:color="auto" w:sz="4" w:space="0"/>
            </w:tcBorders>
            <w:vAlign w:val="center"/>
          </w:tcPr>
          <w:p w14:paraId="1BD921DB">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2DD228F8">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8</w:t>
            </w:r>
          </w:p>
        </w:tc>
        <w:tc>
          <w:tcPr>
            <w:tcW w:w="425" w:type="dxa"/>
            <w:tcBorders>
              <w:top w:val="single" w:color="auto" w:sz="8" w:space="0"/>
              <w:left w:val="single" w:color="auto" w:sz="4" w:space="0"/>
              <w:bottom w:val="single" w:color="auto" w:sz="8" w:space="0"/>
              <w:right w:val="single" w:color="auto" w:sz="4" w:space="0"/>
            </w:tcBorders>
            <w:vAlign w:val="center"/>
          </w:tcPr>
          <w:p w14:paraId="054E86C4">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4</w:t>
            </w:r>
          </w:p>
        </w:tc>
        <w:tc>
          <w:tcPr>
            <w:tcW w:w="425" w:type="dxa"/>
            <w:tcBorders>
              <w:top w:val="single" w:color="auto" w:sz="8" w:space="0"/>
              <w:left w:val="single" w:color="auto" w:sz="4" w:space="0"/>
              <w:bottom w:val="single" w:color="auto" w:sz="8" w:space="0"/>
              <w:right w:val="single" w:color="auto" w:sz="4" w:space="0"/>
            </w:tcBorders>
            <w:vAlign w:val="center"/>
          </w:tcPr>
          <w:p w14:paraId="7BC888C4">
            <w:pPr>
              <w:widowControl/>
              <w:jc w:val="center"/>
              <w:rPr>
                <w:rFonts w:hint="eastAsia" w:ascii="宋体" w:hAnsi="宋体" w:eastAsia="宋体"/>
                <w:bCs/>
                <w:color w:val="000000" w:themeColor="text1"/>
                <w:kern w:val="0"/>
                <w:sz w:val="18"/>
                <w:szCs w:val="18"/>
                <w:lang w:val="en-US" w:eastAsia="zh-CN"/>
              </w:rPr>
            </w:pPr>
            <w:r>
              <w:rPr>
                <w:rFonts w:hint="eastAsia" w:ascii="宋体" w:hAnsi="宋体"/>
                <w:bCs/>
                <w:color w:val="000000" w:themeColor="text1"/>
                <w:kern w:val="0"/>
                <w:sz w:val="18"/>
                <w:szCs w:val="18"/>
                <w:lang w:val="en-US" w:eastAsia="zh-CN"/>
              </w:rPr>
              <w:t>蓝</w:t>
            </w:r>
          </w:p>
        </w:tc>
        <w:tc>
          <w:tcPr>
            <w:tcW w:w="548" w:type="dxa"/>
            <w:tcBorders>
              <w:top w:val="single" w:color="auto" w:sz="8" w:space="0"/>
              <w:left w:val="single" w:color="auto" w:sz="4" w:space="0"/>
              <w:bottom w:val="single" w:color="auto" w:sz="8" w:space="0"/>
              <w:right w:val="single" w:color="auto" w:sz="8" w:space="0"/>
            </w:tcBorders>
            <w:vAlign w:val="center"/>
          </w:tcPr>
          <w:p w14:paraId="03C32517">
            <w:pPr>
              <w:widowControl/>
              <w:jc w:val="center"/>
              <w:rPr>
                <w:rFonts w:hint="eastAsia" w:ascii="宋体" w:hAnsi="宋体"/>
                <w:bCs/>
                <w:color w:val="000000" w:themeColor="text1"/>
                <w:kern w:val="0"/>
                <w:sz w:val="18"/>
                <w:szCs w:val="18"/>
              </w:rPr>
            </w:pPr>
          </w:p>
        </w:tc>
      </w:tr>
    </w:tbl>
    <w:p w14:paraId="0D4EAA00">
      <w:pPr>
        <w:pStyle w:val="58"/>
        <w:ind w:left="0" w:leftChars="0" w:firstLine="0" w:firstLineChars="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5DA253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6" w:hRule="atLeast"/>
        </w:trPr>
        <w:tc>
          <w:tcPr>
            <w:tcW w:w="577" w:type="dxa"/>
            <w:tcBorders>
              <w:top w:val="single" w:color="auto" w:sz="8" w:space="0"/>
              <w:left w:val="single" w:color="auto" w:sz="8" w:space="0"/>
              <w:bottom w:val="single" w:color="auto" w:sz="8" w:space="0"/>
              <w:right w:val="single" w:color="auto" w:sz="4" w:space="0"/>
            </w:tcBorders>
            <w:vAlign w:val="center"/>
          </w:tcPr>
          <w:p w14:paraId="2F106D8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7433399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1009F156">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59EAEE9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730FBCF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7840099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438D8153">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45488A8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2E5BC9E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62D2FAA4">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63D77BA7">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13938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9" w:hRule="atLeast"/>
        </w:trPr>
        <w:tc>
          <w:tcPr>
            <w:tcW w:w="577" w:type="dxa"/>
            <w:tcBorders>
              <w:top w:val="single" w:color="auto" w:sz="8" w:space="0"/>
              <w:left w:val="single" w:color="auto" w:sz="8" w:space="0"/>
              <w:bottom w:val="single" w:color="auto" w:sz="4" w:space="0"/>
              <w:right w:val="single" w:color="auto" w:sz="4" w:space="0"/>
            </w:tcBorders>
            <w:vAlign w:val="center"/>
          </w:tcPr>
          <w:p w14:paraId="13E09135">
            <w:pPr>
              <w:widowControl/>
              <w:jc w:val="center"/>
              <w:rPr>
                <w:rFonts w:hint="eastAsia" w:ascii="宋体" w:hAnsi="宋体" w:eastAsia="宋体"/>
                <w:color w:val="000000" w:themeColor="text1"/>
                <w:kern w:val="0"/>
                <w:sz w:val="18"/>
                <w:szCs w:val="18"/>
                <w:lang w:eastAsia="zh-CN"/>
              </w:rPr>
            </w:pPr>
            <w:r>
              <w:rPr>
                <w:rFonts w:hint="eastAsia" w:ascii="宋体" w:hAnsi="宋体"/>
                <w:color w:val="000000" w:themeColor="text1"/>
                <w:kern w:val="0"/>
                <w:sz w:val="18"/>
                <w:szCs w:val="18"/>
              </w:rPr>
              <w:t>4</w:t>
            </w:r>
            <w:r>
              <w:rPr>
                <w:rFonts w:hint="eastAsia" w:ascii="宋体" w:hAnsi="宋体"/>
                <w:color w:val="000000" w:themeColor="text1"/>
                <w:kern w:val="0"/>
                <w:sz w:val="18"/>
                <w:szCs w:val="18"/>
                <w:lang w:val="en-US" w:eastAsia="zh-CN"/>
              </w:rPr>
              <w:t>8</w:t>
            </w:r>
          </w:p>
        </w:tc>
        <w:tc>
          <w:tcPr>
            <w:tcW w:w="567" w:type="dxa"/>
            <w:vMerge w:val="restart"/>
            <w:tcBorders>
              <w:top w:val="nil"/>
              <w:left w:val="single" w:color="auto" w:sz="4" w:space="0"/>
              <w:bottom w:val="single" w:color="auto" w:sz="4" w:space="0"/>
              <w:right w:val="single" w:color="auto" w:sz="4" w:space="0"/>
            </w:tcBorders>
            <w:vAlign w:val="center"/>
          </w:tcPr>
          <w:p w14:paraId="75D493E8">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3182067E">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75AACFC4">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避雷保护</w:t>
            </w:r>
          </w:p>
        </w:tc>
        <w:tc>
          <w:tcPr>
            <w:tcW w:w="4385" w:type="dxa"/>
            <w:tcBorders>
              <w:top w:val="single" w:color="auto" w:sz="8" w:space="0"/>
              <w:left w:val="single" w:color="auto" w:sz="4" w:space="0"/>
              <w:bottom w:val="single" w:color="auto" w:sz="4" w:space="0"/>
              <w:right w:val="single" w:color="auto" w:sz="4" w:space="0"/>
            </w:tcBorders>
            <w:vAlign w:val="center"/>
          </w:tcPr>
          <w:p w14:paraId="6687487A">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接地电阻值不符合GB5144的规定</w:t>
            </w:r>
          </w:p>
        </w:tc>
        <w:tc>
          <w:tcPr>
            <w:tcW w:w="1842" w:type="dxa"/>
            <w:tcBorders>
              <w:top w:val="single" w:color="auto" w:sz="8" w:space="0"/>
              <w:left w:val="single" w:color="auto" w:sz="4" w:space="0"/>
              <w:bottom w:val="single" w:color="auto" w:sz="4" w:space="0"/>
              <w:right w:val="single" w:color="auto" w:sz="4" w:space="0"/>
            </w:tcBorders>
            <w:vAlign w:val="center"/>
          </w:tcPr>
          <w:p w14:paraId="3042F1D2">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lang w:val="en-US" w:eastAsia="zh-CN"/>
              </w:rPr>
              <w:t>故障</w:t>
            </w:r>
            <w:r>
              <w:rPr>
                <w:rFonts w:hint="eastAsia" w:cs="Times New Roman"/>
                <w:color w:val="000000" w:themeColor="text1"/>
                <w:sz w:val="18"/>
                <w:szCs w:val="18"/>
              </w:rPr>
              <w:t>、</w:t>
            </w:r>
            <w:r>
              <w:rPr>
                <w:rFonts w:hint="eastAsia" w:cs="Times New Roman"/>
                <w:color w:val="000000" w:themeColor="text1"/>
                <w:sz w:val="18"/>
                <w:szCs w:val="18"/>
                <w:lang w:val="en-US" w:eastAsia="zh-CN"/>
              </w:rPr>
              <w:t>触电</w:t>
            </w:r>
          </w:p>
        </w:tc>
        <w:tc>
          <w:tcPr>
            <w:tcW w:w="3544" w:type="dxa"/>
            <w:tcBorders>
              <w:top w:val="single" w:color="auto" w:sz="8" w:space="0"/>
              <w:left w:val="single" w:color="auto" w:sz="4" w:space="0"/>
              <w:bottom w:val="single" w:color="auto" w:sz="4" w:space="0"/>
              <w:right w:val="single" w:color="auto" w:sz="4" w:space="0"/>
            </w:tcBorders>
            <w:vAlign w:val="center"/>
          </w:tcPr>
          <w:p w14:paraId="365B02E2">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定期测量塔机接地电阻，如不符合</w:t>
            </w:r>
            <w:r>
              <w:rPr>
                <w:rFonts w:hint="eastAsia" w:ascii="宋体" w:hAnsi="宋体"/>
                <w:color w:val="000000" w:themeColor="text1"/>
                <w:sz w:val="18"/>
                <w:szCs w:val="18"/>
                <w:lang w:val="en-US" w:eastAsia="zh-CN"/>
              </w:rPr>
              <w:t>GB5144的规定</w:t>
            </w:r>
            <w:r>
              <w:rPr>
                <w:rFonts w:hint="eastAsia"/>
                <w:color w:val="000000" w:themeColor="text1"/>
                <w:sz w:val="18"/>
                <w:szCs w:val="18"/>
                <w:lang w:val="en-US" w:eastAsia="zh-CN"/>
              </w:rPr>
              <w:t>时应及时处理，直至符合规定</w:t>
            </w:r>
          </w:p>
        </w:tc>
        <w:tc>
          <w:tcPr>
            <w:tcW w:w="425" w:type="dxa"/>
            <w:tcBorders>
              <w:top w:val="single" w:color="auto" w:sz="8" w:space="0"/>
              <w:left w:val="single" w:color="auto" w:sz="4" w:space="0"/>
              <w:bottom w:val="single" w:color="auto" w:sz="4" w:space="0"/>
              <w:right w:val="single" w:color="auto" w:sz="4" w:space="0"/>
            </w:tcBorders>
            <w:vAlign w:val="center"/>
          </w:tcPr>
          <w:p w14:paraId="3959CB1F">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8" w:space="0"/>
              <w:left w:val="single" w:color="auto" w:sz="4" w:space="0"/>
              <w:bottom w:val="single" w:color="auto" w:sz="4" w:space="0"/>
              <w:right w:val="single" w:color="auto" w:sz="4" w:space="0"/>
            </w:tcBorders>
            <w:vAlign w:val="center"/>
          </w:tcPr>
          <w:p w14:paraId="6FB52C87">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8" w:space="0"/>
              <w:left w:val="single" w:color="auto" w:sz="4" w:space="0"/>
              <w:bottom w:val="single" w:color="auto" w:sz="4" w:space="0"/>
              <w:right w:val="single" w:color="auto" w:sz="4" w:space="0"/>
            </w:tcBorders>
            <w:vAlign w:val="center"/>
          </w:tcPr>
          <w:p w14:paraId="75196C76">
            <w:pPr>
              <w:jc w:val="center"/>
              <w:rPr>
                <w:rFonts w:ascii="宋体" w:hAnsi="宋体"/>
                <w:color w:val="000000" w:themeColor="text1"/>
                <w:sz w:val="18"/>
                <w:szCs w:val="18"/>
              </w:rPr>
            </w:pPr>
            <w:r>
              <w:rPr>
                <w:rFonts w:ascii="宋体" w:hAnsi="宋体"/>
                <w:color w:val="000000" w:themeColor="text1"/>
                <w:sz w:val="18"/>
                <w:szCs w:val="18"/>
              </w:rPr>
              <w:t>10</w:t>
            </w:r>
          </w:p>
        </w:tc>
        <w:tc>
          <w:tcPr>
            <w:tcW w:w="425" w:type="dxa"/>
            <w:tcBorders>
              <w:top w:val="single" w:color="auto" w:sz="8" w:space="0"/>
              <w:left w:val="single" w:color="auto" w:sz="4" w:space="0"/>
              <w:bottom w:val="single" w:color="auto" w:sz="4" w:space="0"/>
              <w:right w:val="single" w:color="auto" w:sz="4" w:space="0"/>
            </w:tcBorders>
            <w:vAlign w:val="center"/>
          </w:tcPr>
          <w:p w14:paraId="07BDA0F7">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56B5E1D4">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7F9E4BAA">
            <w:pPr>
              <w:widowControl/>
              <w:jc w:val="center"/>
              <w:rPr>
                <w:rFonts w:ascii="宋体" w:hAnsi="宋体"/>
                <w:color w:val="000000" w:themeColor="text1"/>
                <w:kern w:val="0"/>
                <w:sz w:val="18"/>
                <w:szCs w:val="18"/>
              </w:rPr>
            </w:pPr>
          </w:p>
        </w:tc>
      </w:tr>
      <w:tr w14:paraId="76EF61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13" w:hRule="atLeast"/>
        </w:trPr>
        <w:tc>
          <w:tcPr>
            <w:tcW w:w="577" w:type="dxa"/>
            <w:tcBorders>
              <w:top w:val="single" w:color="auto" w:sz="8" w:space="0"/>
              <w:left w:val="single" w:color="auto" w:sz="8" w:space="0"/>
              <w:bottom w:val="single" w:color="auto" w:sz="4" w:space="0"/>
              <w:right w:val="single" w:color="auto" w:sz="4" w:space="0"/>
            </w:tcBorders>
            <w:vAlign w:val="center"/>
          </w:tcPr>
          <w:p w14:paraId="3B682999">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49</w:t>
            </w:r>
          </w:p>
        </w:tc>
        <w:tc>
          <w:tcPr>
            <w:tcW w:w="567" w:type="dxa"/>
            <w:vMerge w:val="continue"/>
            <w:tcBorders>
              <w:left w:val="single" w:color="auto" w:sz="4" w:space="0"/>
              <w:right w:val="single" w:color="auto" w:sz="4" w:space="0"/>
            </w:tcBorders>
            <w:vAlign w:val="center"/>
          </w:tcPr>
          <w:p w14:paraId="0EFD2C21">
            <w:pPr>
              <w:widowControl/>
              <w:jc w:val="center"/>
              <w:rPr>
                <w:rFonts w:hint="eastAsia" w:ascii="宋体" w:hAnsi="宋体"/>
                <w:color w:val="000000" w:themeColor="text1"/>
                <w:kern w:val="0"/>
                <w:sz w:val="18"/>
                <w:szCs w:val="18"/>
              </w:rPr>
            </w:pPr>
          </w:p>
        </w:tc>
        <w:tc>
          <w:tcPr>
            <w:tcW w:w="709" w:type="dxa"/>
            <w:tcBorders>
              <w:top w:val="single" w:color="auto" w:sz="8" w:space="0"/>
              <w:left w:val="single" w:color="auto" w:sz="4" w:space="0"/>
              <w:bottom w:val="single" w:color="auto" w:sz="4" w:space="0"/>
              <w:right w:val="single" w:color="auto" w:sz="4" w:space="0"/>
            </w:tcBorders>
            <w:vAlign w:val="center"/>
          </w:tcPr>
          <w:p w14:paraId="6D22432E">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障碍灯</w:t>
            </w:r>
          </w:p>
        </w:tc>
        <w:tc>
          <w:tcPr>
            <w:tcW w:w="4385" w:type="dxa"/>
            <w:tcBorders>
              <w:top w:val="single" w:color="auto" w:sz="8" w:space="0"/>
              <w:left w:val="single" w:color="auto" w:sz="4" w:space="0"/>
              <w:bottom w:val="single" w:color="auto" w:sz="4" w:space="0"/>
              <w:right w:val="single" w:color="auto" w:sz="4" w:space="0"/>
            </w:tcBorders>
            <w:vAlign w:val="center"/>
          </w:tcPr>
          <w:p w14:paraId="5C292C7F">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障碍灯损坏或失效</w:t>
            </w:r>
          </w:p>
        </w:tc>
        <w:tc>
          <w:tcPr>
            <w:tcW w:w="1842" w:type="dxa"/>
            <w:tcBorders>
              <w:top w:val="single" w:color="auto" w:sz="8" w:space="0"/>
              <w:left w:val="single" w:color="auto" w:sz="4" w:space="0"/>
              <w:bottom w:val="single" w:color="auto" w:sz="4" w:space="0"/>
              <w:right w:val="single" w:color="auto" w:sz="4" w:space="0"/>
            </w:tcBorders>
            <w:vAlign w:val="center"/>
          </w:tcPr>
          <w:p w14:paraId="4B072CB9">
            <w:pPr>
              <w:pStyle w:val="236"/>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碰撞</w:t>
            </w:r>
          </w:p>
        </w:tc>
        <w:tc>
          <w:tcPr>
            <w:tcW w:w="3544" w:type="dxa"/>
            <w:tcBorders>
              <w:top w:val="single" w:color="auto" w:sz="8" w:space="0"/>
              <w:left w:val="single" w:color="auto" w:sz="4" w:space="0"/>
              <w:bottom w:val="single" w:color="auto" w:sz="4" w:space="0"/>
              <w:right w:val="single" w:color="auto" w:sz="4" w:space="0"/>
            </w:tcBorders>
            <w:vAlign w:val="center"/>
          </w:tcPr>
          <w:p w14:paraId="6359DA8E">
            <w:pPr>
              <w:pStyle w:val="236"/>
              <w:spacing w:before="6" w:beforeAutospacing="0"/>
              <w:ind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每天检查障碍灯是否正常工作，发现损坏或失效时应及时更</w:t>
            </w:r>
          </w:p>
        </w:tc>
        <w:tc>
          <w:tcPr>
            <w:tcW w:w="425" w:type="dxa"/>
            <w:tcBorders>
              <w:top w:val="single" w:color="auto" w:sz="8" w:space="0"/>
              <w:left w:val="single" w:color="auto" w:sz="4" w:space="0"/>
              <w:bottom w:val="single" w:color="auto" w:sz="4" w:space="0"/>
              <w:right w:val="single" w:color="auto" w:sz="4" w:space="0"/>
            </w:tcBorders>
            <w:vAlign w:val="center"/>
          </w:tcPr>
          <w:p w14:paraId="47249994">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8" w:space="0"/>
              <w:left w:val="single" w:color="auto" w:sz="4" w:space="0"/>
              <w:bottom w:val="single" w:color="auto" w:sz="4" w:space="0"/>
              <w:right w:val="single" w:color="auto" w:sz="4" w:space="0"/>
            </w:tcBorders>
            <w:vAlign w:val="center"/>
          </w:tcPr>
          <w:p w14:paraId="57EE006B">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8" w:space="0"/>
              <w:left w:val="single" w:color="auto" w:sz="4" w:space="0"/>
              <w:bottom w:val="single" w:color="auto" w:sz="4" w:space="0"/>
              <w:right w:val="single" w:color="auto" w:sz="4" w:space="0"/>
            </w:tcBorders>
            <w:vAlign w:val="center"/>
          </w:tcPr>
          <w:p w14:paraId="17BC9E00">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9</w:t>
            </w:r>
          </w:p>
        </w:tc>
        <w:tc>
          <w:tcPr>
            <w:tcW w:w="425" w:type="dxa"/>
            <w:tcBorders>
              <w:top w:val="single" w:color="auto" w:sz="8" w:space="0"/>
              <w:left w:val="single" w:color="auto" w:sz="4" w:space="0"/>
              <w:bottom w:val="single" w:color="auto" w:sz="4" w:space="0"/>
              <w:right w:val="single" w:color="auto" w:sz="4" w:space="0"/>
            </w:tcBorders>
            <w:vAlign w:val="center"/>
          </w:tcPr>
          <w:p w14:paraId="302084EE">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214905FF">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5FC5905C">
            <w:pPr>
              <w:widowControl/>
              <w:jc w:val="center"/>
              <w:rPr>
                <w:rFonts w:ascii="宋体" w:hAnsi="宋体"/>
                <w:color w:val="000000" w:themeColor="text1"/>
                <w:kern w:val="0"/>
                <w:sz w:val="18"/>
                <w:szCs w:val="18"/>
              </w:rPr>
            </w:pPr>
          </w:p>
        </w:tc>
      </w:tr>
      <w:tr w14:paraId="111CC1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9" w:hRule="atLeast"/>
        </w:trPr>
        <w:tc>
          <w:tcPr>
            <w:tcW w:w="577" w:type="dxa"/>
            <w:tcBorders>
              <w:top w:val="single" w:color="auto" w:sz="8" w:space="0"/>
              <w:left w:val="single" w:color="auto" w:sz="8" w:space="0"/>
              <w:bottom w:val="single" w:color="auto" w:sz="4" w:space="0"/>
              <w:right w:val="single" w:color="auto" w:sz="4" w:space="0"/>
            </w:tcBorders>
            <w:vAlign w:val="center"/>
          </w:tcPr>
          <w:p w14:paraId="118A0FDF">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50</w:t>
            </w:r>
          </w:p>
        </w:tc>
        <w:tc>
          <w:tcPr>
            <w:tcW w:w="567" w:type="dxa"/>
            <w:vMerge w:val="continue"/>
            <w:tcBorders>
              <w:left w:val="single" w:color="auto" w:sz="4" w:space="0"/>
              <w:right w:val="single" w:color="auto" w:sz="4" w:space="0"/>
            </w:tcBorders>
            <w:vAlign w:val="center"/>
          </w:tcPr>
          <w:p w14:paraId="6EE82E5A">
            <w:pPr>
              <w:widowControl/>
              <w:jc w:val="center"/>
              <w:rPr>
                <w:rFonts w:hint="eastAsia" w:ascii="宋体" w:hAnsi="宋体"/>
                <w:color w:val="000000" w:themeColor="text1"/>
                <w:kern w:val="0"/>
                <w:sz w:val="18"/>
                <w:szCs w:val="18"/>
              </w:rPr>
            </w:pPr>
          </w:p>
        </w:tc>
        <w:tc>
          <w:tcPr>
            <w:tcW w:w="709" w:type="dxa"/>
            <w:tcBorders>
              <w:top w:val="single" w:color="auto" w:sz="8" w:space="0"/>
              <w:left w:val="single" w:color="auto" w:sz="4" w:space="0"/>
              <w:bottom w:val="single" w:color="auto" w:sz="4" w:space="0"/>
              <w:right w:val="single" w:color="auto" w:sz="4" w:space="0"/>
            </w:tcBorders>
            <w:vAlign w:val="center"/>
          </w:tcPr>
          <w:p w14:paraId="1D95C39C">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风速仪</w:t>
            </w:r>
          </w:p>
        </w:tc>
        <w:tc>
          <w:tcPr>
            <w:tcW w:w="4385" w:type="dxa"/>
            <w:tcBorders>
              <w:top w:val="single" w:color="auto" w:sz="8" w:space="0"/>
              <w:left w:val="single" w:color="auto" w:sz="4" w:space="0"/>
              <w:bottom w:val="single" w:color="auto" w:sz="4" w:space="0"/>
              <w:right w:val="single" w:color="auto" w:sz="4" w:space="0"/>
            </w:tcBorders>
            <w:vAlign w:val="center"/>
          </w:tcPr>
          <w:p w14:paraId="457DD280">
            <w:pPr>
              <w:numPr>
                <w:ilvl w:val="0"/>
                <w:numId w:val="56"/>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未按照规定设置</w:t>
            </w:r>
          </w:p>
          <w:p w14:paraId="30FAB913">
            <w:pPr>
              <w:numPr>
                <w:ilvl w:val="0"/>
                <w:numId w:val="56"/>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风速仪损坏或失效</w:t>
            </w:r>
          </w:p>
        </w:tc>
        <w:tc>
          <w:tcPr>
            <w:tcW w:w="1842" w:type="dxa"/>
            <w:tcBorders>
              <w:top w:val="single" w:color="auto" w:sz="8" w:space="0"/>
              <w:left w:val="single" w:color="auto" w:sz="4" w:space="0"/>
              <w:bottom w:val="single" w:color="auto" w:sz="4" w:space="0"/>
              <w:right w:val="single" w:color="auto" w:sz="4" w:space="0"/>
            </w:tcBorders>
            <w:vAlign w:val="center"/>
          </w:tcPr>
          <w:p w14:paraId="190DABEF">
            <w:pPr>
              <w:pStyle w:val="236"/>
              <w:spacing w:before="6" w:beforeAutospacing="0"/>
              <w:ind w:left="27"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碰撞、坠落</w:t>
            </w:r>
          </w:p>
        </w:tc>
        <w:tc>
          <w:tcPr>
            <w:tcW w:w="3544" w:type="dxa"/>
            <w:tcBorders>
              <w:top w:val="single" w:color="auto" w:sz="8" w:space="0"/>
              <w:left w:val="single" w:color="auto" w:sz="4" w:space="0"/>
              <w:bottom w:val="single" w:color="auto" w:sz="4" w:space="0"/>
              <w:right w:val="single" w:color="auto" w:sz="4" w:space="0"/>
            </w:tcBorders>
            <w:vAlign w:val="center"/>
          </w:tcPr>
          <w:p w14:paraId="5AE88809">
            <w:pPr>
              <w:pStyle w:val="236"/>
              <w:spacing w:before="6" w:beforeAutospacing="0"/>
              <w:ind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安装时应按照规定设置风速仪，每天检查风速仪是否正常工作，发现异常时应及时更换或维修</w:t>
            </w:r>
          </w:p>
        </w:tc>
        <w:tc>
          <w:tcPr>
            <w:tcW w:w="425" w:type="dxa"/>
            <w:tcBorders>
              <w:top w:val="single" w:color="auto" w:sz="8" w:space="0"/>
              <w:left w:val="single" w:color="auto" w:sz="4" w:space="0"/>
              <w:bottom w:val="single" w:color="auto" w:sz="4" w:space="0"/>
              <w:right w:val="single" w:color="auto" w:sz="4" w:space="0"/>
            </w:tcBorders>
            <w:vAlign w:val="center"/>
          </w:tcPr>
          <w:p w14:paraId="53F31152">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8" w:space="0"/>
              <w:left w:val="single" w:color="auto" w:sz="4" w:space="0"/>
              <w:bottom w:val="single" w:color="auto" w:sz="4" w:space="0"/>
              <w:right w:val="single" w:color="auto" w:sz="4" w:space="0"/>
            </w:tcBorders>
            <w:vAlign w:val="center"/>
          </w:tcPr>
          <w:p w14:paraId="78442881">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8" w:space="0"/>
              <w:left w:val="single" w:color="auto" w:sz="4" w:space="0"/>
              <w:bottom w:val="single" w:color="auto" w:sz="4" w:space="0"/>
              <w:right w:val="single" w:color="auto" w:sz="4" w:space="0"/>
            </w:tcBorders>
            <w:vAlign w:val="center"/>
          </w:tcPr>
          <w:p w14:paraId="19EAC345">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9</w:t>
            </w:r>
          </w:p>
        </w:tc>
        <w:tc>
          <w:tcPr>
            <w:tcW w:w="425" w:type="dxa"/>
            <w:tcBorders>
              <w:top w:val="single" w:color="auto" w:sz="8" w:space="0"/>
              <w:left w:val="single" w:color="auto" w:sz="4" w:space="0"/>
              <w:bottom w:val="single" w:color="auto" w:sz="4" w:space="0"/>
              <w:right w:val="single" w:color="auto" w:sz="4" w:space="0"/>
            </w:tcBorders>
            <w:vAlign w:val="center"/>
          </w:tcPr>
          <w:p w14:paraId="0957977E">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0D9F9C2D">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黄</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31306923">
            <w:pPr>
              <w:widowControl/>
              <w:jc w:val="center"/>
              <w:rPr>
                <w:rFonts w:ascii="宋体" w:hAnsi="宋体"/>
                <w:color w:val="000000" w:themeColor="text1"/>
                <w:kern w:val="0"/>
                <w:sz w:val="18"/>
                <w:szCs w:val="18"/>
              </w:rPr>
            </w:pPr>
          </w:p>
        </w:tc>
      </w:tr>
      <w:tr w14:paraId="57812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24" w:hRule="atLeast"/>
        </w:trPr>
        <w:tc>
          <w:tcPr>
            <w:tcW w:w="577" w:type="dxa"/>
            <w:tcBorders>
              <w:top w:val="single" w:color="auto" w:sz="4" w:space="0"/>
              <w:left w:val="single" w:color="auto" w:sz="8" w:space="0"/>
              <w:bottom w:val="single" w:color="auto" w:sz="4" w:space="0"/>
              <w:right w:val="single" w:color="auto" w:sz="4" w:space="0"/>
            </w:tcBorders>
            <w:vAlign w:val="center"/>
          </w:tcPr>
          <w:p w14:paraId="0856E69F">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51</w:t>
            </w:r>
          </w:p>
        </w:tc>
        <w:tc>
          <w:tcPr>
            <w:tcW w:w="0" w:type="auto"/>
            <w:vMerge w:val="continue"/>
            <w:tcBorders>
              <w:top w:val="nil"/>
              <w:left w:val="single" w:color="auto" w:sz="4" w:space="0"/>
              <w:bottom w:val="single" w:color="auto" w:sz="4" w:space="0"/>
              <w:right w:val="single" w:color="auto" w:sz="4" w:space="0"/>
            </w:tcBorders>
            <w:vAlign w:val="center"/>
          </w:tcPr>
          <w:p w14:paraId="05D621AD">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1441A214">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超速保护</w:t>
            </w:r>
          </w:p>
        </w:tc>
        <w:tc>
          <w:tcPr>
            <w:tcW w:w="4385" w:type="dxa"/>
            <w:tcBorders>
              <w:top w:val="single" w:color="auto" w:sz="4" w:space="0"/>
              <w:left w:val="single" w:color="auto" w:sz="4" w:space="0"/>
              <w:bottom w:val="single" w:color="auto" w:sz="4" w:space="0"/>
              <w:right w:val="single" w:color="auto" w:sz="4" w:space="0"/>
            </w:tcBorders>
            <w:vAlign w:val="center"/>
          </w:tcPr>
          <w:p w14:paraId="578DE619">
            <w:pPr>
              <w:numPr>
                <w:ilvl w:val="0"/>
                <w:numId w:val="57"/>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未按照规定设置</w:t>
            </w:r>
          </w:p>
          <w:p w14:paraId="43247E23">
            <w:pPr>
              <w:numPr>
                <w:ilvl w:val="0"/>
                <w:numId w:val="57"/>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超速保护开关损坏或输出异常</w:t>
            </w:r>
          </w:p>
        </w:tc>
        <w:tc>
          <w:tcPr>
            <w:tcW w:w="1842" w:type="dxa"/>
            <w:tcBorders>
              <w:top w:val="single" w:color="auto" w:sz="4" w:space="0"/>
              <w:left w:val="single" w:color="auto" w:sz="4" w:space="0"/>
              <w:bottom w:val="single" w:color="auto" w:sz="4" w:space="0"/>
              <w:right w:val="single" w:color="auto" w:sz="4" w:space="0"/>
            </w:tcBorders>
            <w:vAlign w:val="center"/>
          </w:tcPr>
          <w:p w14:paraId="7131EBB4">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倾倒、超速</w:t>
            </w:r>
          </w:p>
        </w:tc>
        <w:tc>
          <w:tcPr>
            <w:tcW w:w="3544" w:type="dxa"/>
            <w:tcBorders>
              <w:top w:val="single" w:color="auto" w:sz="4" w:space="0"/>
              <w:left w:val="single" w:color="auto" w:sz="4" w:space="0"/>
              <w:bottom w:val="single" w:color="auto" w:sz="4" w:space="0"/>
              <w:right w:val="single" w:color="auto" w:sz="4" w:space="0"/>
            </w:tcBorders>
            <w:vAlign w:val="center"/>
          </w:tcPr>
          <w:p w14:paraId="3411A6FF">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安装时应按照规定设置超速保护，每天检查超速保护开关是否完好并输出正常，开关损坏或输出异常时应及时更换或维修</w:t>
            </w:r>
          </w:p>
        </w:tc>
        <w:tc>
          <w:tcPr>
            <w:tcW w:w="425" w:type="dxa"/>
            <w:tcBorders>
              <w:top w:val="single" w:color="auto" w:sz="4" w:space="0"/>
              <w:left w:val="single" w:color="auto" w:sz="4" w:space="0"/>
              <w:bottom w:val="single" w:color="auto" w:sz="4" w:space="0"/>
              <w:right w:val="single" w:color="auto" w:sz="4" w:space="0"/>
            </w:tcBorders>
            <w:vAlign w:val="center"/>
          </w:tcPr>
          <w:p w14:paraId="17A1D266">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2</w:t>
            </w:r>
          </w:p>
        </w:tc>
        <w:tc>
          <w:tcPr>
            <w:tcW w:w="426" w:type="dxa"/>
            <w:tcBorders>
              <w:top w:val="single" w:color="auto" w:sz="4" w:space="0"/>
              <w:left w:val="single" w:color="auto" w:sz="4" w:space="0"/>
              <w:bottom w:val="single" w:color="auto" w:sz="4" w:space="0"/>
              <w:right w:val="single" w:color="auto" w:sz="4" w:space="0"/>
            </w:tcBorders>
            <w:vAlign w:val="center"/>
          </w:tcPr>
          <w:p w14:paraId="1947C734">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14:paraId="1DEE5049">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10</w:t>
            </w:r>
          </w:p>
        </w:tc>
        <w:tc>
          <w:tcPr>
            <w:tcW w:w="425" w:type="dxa"/>
            <w:tcBorders>
              <w:top w:val="single" w:color="auto" w:sz="4" w:space="0"/>
              <w:left w:val="single" w:color="auto" w:sz="4" w:space="0"/>
              <w:bottom w:val="single" w:color="auto" w:sz="4" w:space="0"/>
              <w:right w:val="single" w:color="auto" w:sz="4" w:space="0"/>
            </w:tcBorders>
            <w:vAlign w:val="center"/>
          </w:tcPr>
          <w:p w14:paraId="3873C94B">
            <w:pPr>
              <w:jc w:val="center"/>
              <w:rPr>
                <w:rFonts w:hint="eastAsia" w:ascii="宋体" w:hAnsi="宋体" w:eastAsia="宋体"/>
                <w:color w:val="000000" w:themeColor="text1"/>
                <w:sz w:val="18"/>
                <w:szCs w:val="18"/>
                <w:lang w:eastAsia="zh-CN"/>
              </w:rPr>
            </w:pPr>
            <w:r>
              <w:rPr>
                <w:rFonts w:hint="eastAsia" w:ascii="宋体" w:hAnsi="宋体"/>
                <w:color w:val="000000" w:themeColor="text1"/>
                <w:sz w:val="18"/>
                <w:szCs w:val="18"/>
                <w:lang w:val="en-US" w:eastAsia="zh-CN"/>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618495D">
            <w:pPr>
              <w:jc w:val="center"/>
              <w:rPr>
                <w:rFonts w:ascii="宋体" w:hAnsi="宋体"/>
                <w:color w:val="000000" w:themeColor="text1"/>
                <w:sz w:val="18"/>
                <w:szCs w:val="18"/>
              </w:rPr>
            </w:pPr>
            <w:r>
              <w:rPr>
                <w:rFonts w:hint="eastAsia" w:ascii="宋体" w:hAnsi="宋体"/>
                <w:color w:val="000000" w:themeColor="text1"/>
                <w:sz w:val="18"/>
                <w:szCs w:val="18"/>
                <w:lang w:val="en-US" w:eastAsia="zh-CN"/>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305B7CF1">
            <w:pPr>
              <w:widowControl/>
              <w:jc w:val="center"/>
              <w:rPr>
                <w:rFonts w:ascii="宋体" w:hAnsi="宋体"/>
                <w:color w:val="000000" w:themeColor="text1"/>
                <w:kern w:val="0"/>
                <w:sz w:val="18"/>
                <w:szCs w:val="18"/>
              </w:rPr>
            </w:pPr>
          </w:p>
        </w:tc>
      </w:tr>
      <w:tr w14:paraId="12862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21" w:hRule="atLeast"/>
        </w:trPr>
        <w:tc>
          <w:tcPr>
            <w:tcW w:w="577" w:type="dxa"/>
            <w:tcBorders>
              <w:top w:val="single" w:color="auto" w:sz="4" w:space="0"/>
              <w:left w:val="single" w:color="auto" w:sz="8" w:space="0"/>
              <w:bottom w:val="single" w:color="auto" w:sz="4" w:space="0"/>
              <w:right w:val="single" w:color="auto" w:sz="4" w:space="0"/>
            </w:tcBorders>
            <w:vAlign w:val="center"/>
          </w:tcPr>
          <w:p w14:paraId="7DF0401F">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52</w:t>
            </w:r>
          </w:p>
        </w:tc>
        <w:tc>
          <w:tcPr>
            <w:tcW w:w="0" w:type="auto"/>
            <w:vMerge w:val="continue"/>
            <w:tcBorders>
              <w:top w:val="nil"/>
              <w:left w:val="single" w:color="auto" w:sz="4" w:space="0"/>
              <w:bottom w:val="nil"/>
              <w:right w:val="single" w:color="auto" w:sz="4" w:space="0"/>
            </w:tcBorders>
            <w:vAlign w:val="center"/>
          </w:tcPr>
          <w:p w14:paraId="7C4126D9">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8BBB49D">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防臂架后翻装置</w:t>
            </w:r>
          </w:p>
        </w:tc>
        <w:tc>
          <w:tcPr>
            <w:tcW w:w="4385" w:type="dxa"/>
            <w:tcBorders>
              <w:top w:val="single" w:color="auto" w:sz="4" w:space="0"/>
              <w:left w:val="single" w:color="auto" w:sz="4" w:space="0"/>
              <w:bottom w:val="single" w:color="auto" w:sz="4" w:space="0"/>
              <w:right w:val="single" w:color="auto" w:sz="4" w:space="0"/>
            </w:tcBorders>
            <w:vAlign w:val="center"/>
          </w:tcPr>
          <w:p w14:paraId="7B15ED84">
            <w:pPr>
              <w:numPr>
                <w:ilvl w:val="0"/>
                <w:numId w:val="58"/>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未按规定设置</w:t>
            </w:r>
          </w:p>
          <w:p w14:paraId="122862CC">
            <w:pPr>
              <w:numPr>
                <w:ilvl w:val="0"/>
                <w:numId w:val="58"/>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防臂架后翻装置零部件缺失或位置变动</w:t>
            </w:r>
          </w:p>
        </w:tc>
        <w:tc>
          <w:tcPr>
            <w:tcW w:w="1842" w:type="dxa"/>
            <w:tcBorders>
              <w:top w:val="single" w:color="auto" w:sz="4" w:space="0"/>
              <w:left w:val="single" w:color="auto" w:sz="4" w:space="0"/>
              <w:bottom w:val="single" w:color="auto" w:sz="4" w:space="0"/>
              <w:right w:val="single" w:color="auto" w:sz="4" w:space="0"/>
            </w:tcBorders>
            <w:vAlign w:val="center"/>
          </w:tcPr>
          <w:p w14:paraId="4AB167A3">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rPr>
              <w:t>坠落、</w:t>
            </w:r>
            <w:r>
              <w:rPr>
                <w:rFonts w:hint="eastAsia" w:cs="Times New Roman"/>
                <w:color w:val="000000" w:themeColor="text1"/>
                <w:sz w:val="18"/>
                <w:szCs w:val="18"/>
                <w:lang w:val="en-US" w:eastAsia="zh-CN"/>
              </w:rPr>
              <w:t>倾倒</w:t>
            </w:r>
          </w:p>
        </w:tc>
        <w:tc>
          <w:tcPr>
            <w:tcW w:w="3544" w:type="dxa"/>
            <w:tcBorders>
              <w:top w:val="single" w:color="auto" w:sz="4" w:space="0"/>
              <w:left w:val="single" w:color="auto" w:sz="4" w:space="0"/>
              <w:bottom w:val="single" w:color="auto" w:sz="4" w:space="0"/>
              <w:right w:val="single" w:color="auto" w:sz="4" w:space="0"/>
            </w:tcBorders>
            <w:vAlign w:val="center"/>
          </w:tcPr>
          <w:p w14:paraId="690330C4">
            <w:pPr>
              <w:pStyle w:val="236"/>
              <w:spacing w:before="6" w:beforeAutospacing="0"/>
              <w:ind w:right="118"/>
              <w:rPr>
                <w:rFonts w:cs="Times New Roman"/>
                <w:color w:val="000000" w:themeColor="text1"/>
                <w:sz w:val="18"/>
                <w:szCs w:val="18"/>
              </w:rPr>
            </w:pPr>
            <w:r>
              <w:rPr>
                <w:rFonts w:hint="eastAsia" w:cs="Times New Roman"/>
                <w:color w:val="000000" w:themeColor="text1"/>
                <w:sz w:val="18"/>
                <w:szCs w:val="18"/>
                <w:lang w:val="en-US" w:eastAsia="zh-CN"/>
              </w:rPr>
              <w:t>安装时应按照规定设置</w:t>
            </w:r>
            <w:r>
              <w:rPr>
                <w:rFonts w:hint="eastAsia" w:ascii="宋体" w:hAnsi="宋体"/>
                <w:color w:val="000000" w:themeColor="text1"/>
                <w:sz w:val="18"/>
                <w:szCs w:val="18"/>
                <w:lang w:val="en-US" w:eastAsia="zh-CN"/>
              </w:rPr>
              <w:t>防臂架后翻装置</w:t>
            </w:r>
            <w:r>
              <w:rPr>
                <w:rFonts w:hint="eastAsia" w:cs="Times New Roman"/>
                <w:color w:val="000000" w:themeColor="text1"/>
                <w:sz w:val="18"/>
                <w:szCs w:val="18"/>
                <w:lang w:val="en-US" w:eastAsia="zh-CN"/>
              </w:rPr>
              <w:t>，定期检查</w:t>
            </w:r>
            <w:r>
              <w:rPr>
                <w:rFonts w:hint="eastAsia" w:ascii="宋体" w:hAnsi="宋体"/>
                <w:color w:val="000000" w:themeColor="text1"/>
                <w:sz w:val="18"/>
                <w:szCs w:val="18"/>
                <w:lang w:val="en-US" w:eastAsia="zh-CN"/>
              </w:rPr>
              <w:t>防臂架后翻装置</w:t>
            </w:r>
            <w:r>
              <w:rPr>
                <w:rFonts w:hint="eastAsia"/>
                <w:color w:val="000000" w:themeColor="text1"/>
                <w:sz w:val="18"/>
                <w:szCs w:val="18"/>
                <w:lang w:val="en-US" w:eastAsia="zh-CN"/>
              </w:rPr>
              <w:t>零部件</w:t>
            </w:r>
            <w:r>
              <w:rPr>
                <w:rFonts w:hint="eastAsia" w:cs="Times New Roman"/>
                <w:color w:val="000000" w:themeColor="text1"/>
                <w:sz w:val="18"/>
                <w:szCs w:val="18"/>
                <w:lang w:val="en-US" w:eastAsia="zh-CN"/>
              </w:rPr>
              <w:t>是否</w:t>
            </w:r>
            <w:r>
              <w:rPr>
                <w:rFonts w:hint="eastAsia" w:ascii="宋体" w:hAnsi="宋体"/>
                <w:color w:val="000000" w:themeColor="text1"/>
                <w:sz w:val="18"/>
                <w:szCs w:val="18"/>
                <w:lang w:val="en-US" w:eastAsia="zh-CN"/>
              </w:rPr>
              <w:t>缺失或位置变动</w:t>
            </w:r>
            <w:r>
              <w:rPr>
                <w:rFonts w:hint="eastAsia" w:cs="Times New Roman"/>
                <w:color w:val="000000" w:themeColor="text1"/>
                <w:sz w:val="18"/>
                <w:szCs w:val="18"/>
                <w:lang w:val="en-US" w:eastAsia="zh-CN"/>
              </w:rPr>
              <w:t>，</w:t>
            </w:r>
            <w:r>
              <w:rPr>
                <w:rFonts w:hint="eastAsia" w:ascii="宋体" w:hAnsi="宋体"/>
                <w:color w:val="000000" w:themeColor="text1"/>
                <w:sz w:val="18"/>
                <w:szCs w:val="18"/>
                <w:lang w:val="en-US" w:eastAsia="zh-CN"/>
              </w:rPr>
              <w:t>零部件缺失或位置变动</w:t>
            </w:r>
            <w:r>
              <w:rPr>
                <w:rFonts w:hint="eastAsia" w:cs="Times New Roman"/>
                <w:color w:val="000000" w:themeColor="text1"/>
                <w:sz w:val="18"/>
                <w:szCs w:val="18"/>
                <w:lang w:val="en-US" w:eastAsia="zh-CN"/>
              </w:rPr>
              <w:t>时应及时更换或维修</w:t>
            </w:r>
          </w:p>
        </w:tc>
        <w:tc>
          <w:tcPr>
            <w:tcW w:w="425" w:type="dxa"/>
            <w:tcBorders>
              <w:top w:val="single" w:color="auto" w:sz="4" w:space="0"/>
              <w:left w:val="single" w:color="auto" w:sz="4" w:space="0"/>
              <w:bottom w:val="single" w:color="auto" w:sz="4" w:space="0"/>
              <w:right w:val="single" w:color="auto" w:sz="4" w:space="0"/>
            </w:tcBorders>
            <w:vAlign w:val="center"/>
          </w:tcPr>
          <w:p w14:paraId="37B7AA4F">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101E5399">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14:paraId="2B91D872">
            <w:pPr>
              <w:jc w:val="center"/>
              <w:rPr>
                <w:rFonts w:ascii="宋体" w:hAnsi="宋体"/>
                <w:color w:val="000000" w:themeColor="text1"/>
                <w:sz w:val="18"/>
                <w:szCs w:val="18"/>
              </w:rPr>
            </w:pPr>
            <w:r>
              <w:rPr>
                <w:rFonts w:ascii="宋体" w:hAnsi="宋体"/>
                <w:color w:val="000000" w:themeColor="text1"/>
                <w:sz w:val="18"/>
                <w:szCs w:val="18"/>
              </w:rPr>
              <w:t>8</w:t>
            </w:r>
          </w:p>
        </w:tc>
        <w:tc>
          <w:tcPr>
            <w:tcW w:w="425" w:type="dxa"/>
            <w:tcBorders>
              <w:top w:val="single" w:color="auto" w:sz="4" w:space="0"/>
              <w:left w:val="single" w:color="auto" w:sz="4" w:space="0"/>
              <w:bottom w:val="single" w:color="auto" w:sz="4" w:space="0"/>
              <w:right w:val="single" w:color="auto" w:sz="4" w:space="0"/>
            </w:tcBorders>
            <w:vAlign w:val="center"/>
          </w:tcPr>
          <w:p w14:paraId="210C4608">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409F166">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DF4DF5C">
            <w:pPr>
              <w:widowControl/>
              <w:jc w:val="center"/>
              <w:rPr>
                <w:rFonts w:ascii="宋体" w:hAnsi="宋体"/>
                <w:color w:val="000000" w:themeColor="text1"/>
                <w:kern w:val="0"/>
                <w:sz w:val="18"/>
                <w:szCs w:val="18"/>
              </w:rPr>
            </w:pPr>
          </w:p>
        </w:tc>
      </w:tr>
      <w:tr w14:paraId="313EAE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21" w:hRule="atLeast"/>
        </w:trPr>
        <w:tc>
          <w:tcPr>
            <w:tcW w:w="577" w:type="dxa"/>
            <w:tcBorders>
              <w:top w:val="single" w:color="auto" w:sz="4" w:space="0"/>
              <w:left w:val="single" w:color="auto" w:sz="8" w:space="0"/>
              <w:bottom w:val="single" w:color="auto" w:sz="8" w:space="0"/>
              <w:right w:val="single" w:color="auto" w:sz="4" w:space="0"/>
            </w:tcBorders>
            <w:vAlign w:val="center"/>
          </w:tcPr>
          <w:p w14:paraId="6565EA3D">
            <w:pPr>
              <w:widowControl/>
              <w:jc w:val="center"/>
              <w:rPr>
                <w:rFonts w:hint="default" w:ascii="宋体" w:hAnsi="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53</w:t>
            </w:r>
          </w:p>
        </w:tc>
        <w:tc>
          <w:tcPr>
            <w:tcW w:w="0" w:type="auto"/>
            <w:tcBorders>
              <w:top w:val="nil"/>
              <w:left w:val="single" w:color="auto" w:sz="4" w:space="0"/>
              <w:bottom w:val="single" w:color="auto" w:sz="4" w:space="0"/>
              <w:right w:val="single" w:color="auto" w:sz="4" w:space="0"/>
            </w:tcBorders>
            <w:vAlign w:val="center"/>
          </w:tcPr>
          <w:p w14:paraId="01A4D645">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48EFBBCD">
            <w:pPr>
              <w:jc w:val="cente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幅度限位器</w:t>
            </w:r>
          </w:p>
        </w:tc>
        <w:tc>
          <w:tcPr>
            <w:tcW w:w="4385" w:type="dxa"/>
            <w:tcBorders>
              <w:top w:val="single" w:color="auto" w:sz="4" w:space="0"/>
              <w:left w:val="single" w:color="auto" w:sz="4" w:space="0"/>
              <w:bottom w:val="single" w:color="auto" w:sz="8" w:space="0"/>
              <w:right w:val="single" w:color="auto" w:sz="4" w:space="0"/>
            </w:tcBorders>
            <w:vAlign w:val="center"/>
          </w:tcPr>
          <w:p w14:paraId="10F2037E">
            <w:pPr>
              <w:numPr>
                <w:ilvl w:val="0"/>
                <w:numId w:val="59"/>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未按照规定设置</w:t>
            </w:r>
          </w:p>
          <w:p w14:paraId="256E61F7">
            <w:pPr>
              <w:numPr>
                <w:ilvl w:val="0"/>
                <w:numId w:val="59"/>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幅度限位器损坏或失效</w:t>
            </w:r>
          </w:p>
        </w:tc>
        <w:tc>
          <w:tcPr>
            <w:tcW w:w="1842" w:type="dxa"/>
            <w:tcBorders>
              <w:top w:val="single" w:color="auto" w:sz="4" w:space="0"/>
              <w:left w:val="single" w:color="auto" w:sz="4" w:space="0"/>
              <w:bottom w:val="single" w:color="auto" w:sz="8" w:space="0"/>
              <w:right w:val="single" w:color="auto" w:sz="4" w:space="0"/>
            </w:tcBorders>
            <w:vAlign w:val="center"/>
          </w:tcPr>
          <w:p w14:paraId="6319DB00">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碰撞、坠落</w:t>
            </w:r>
          </w:p>
        </w:tc>
        <w:tc>
          <w:tcPr>
            <w:tcW w:w="3544" w:type="dxa"/>
            <w:tcBorders>
              <w:top w:val="single" w:color="auto" w:sz="4" w:space="0"/>
              <w:left w:val="single" w:color="auto" w:sz="4" w:space="0"/>
              <w:bottom w:val="single" w:color="auto" w:sz="8" w:space="0"/>
              <w:right w:val="single" w:color="auto" w:sz="4" w:space="0"/>
            </w:tcBorders>
            <w:vAlign w:val="center"/>
          </w:tcPr>
          <w:p w14:paraId="4E4C775F">
            <w:pPr>
              <w:pStyle w:val="236"/>
              <w:spacing w:before="6" w:beforeAutospacing="0"/>
              <w:ind w:right="118"/>
              <w:rPr>
                <w:rFonts w:hint="default" w:cs="Times New Roman"/>
                <w:color w:val="000000" w:themeColor="text1"/>
                <w:sz w:val="18"/>
                <w:szCs w:val="18"/>
                <w:lang w:val="en-US" w:eastAsia="zh-CN"/>
              </w:rPr>
            </w:pPr>
            <w:r>
              <w:rPr>
                <w:rFonts w:hint="eastAsia" w:cs="Times New Roman"/>
                <w:color w:val="000000" w:themeColor="text1"/>
                <w:sz w:val="18"/>
                <w:szCs w:val="18"/>
                <w:lang w:val="en-US" w:eastAsia="zh-CN"/>
              </w:rPr>
              <w:t>动臂变幅塔机，应设置幅度限位开关，在臂架到达相应极限位置前动作并停止往极限变幅；小车变幅塔机，应设置小车行程限位开关和端部缓冲装置，开关动作后保证小车停车时其端部缓冲装置最小距离为200mm</w:t>
            </w:r>
          </w:p>
        </w:tc>
        <w:tc>
          <w:tcPr>
            <w:tcW w:w="425" w:type="dxa"/>
            <w:tcBorders>
              <w:top w:val="single" w:color="auto" w:sz="4" w:space="0"/>
              <w:left w:val="single" w:color="auto" w:sz="4" w:space="0"/>
              <w:bottom w:val="single" w:color="auto" w:sz="8" w:space="0"/>
              <w:right w:val="single" w:color="auto" w:sz="4" w:space="0"/>
            </w:tcBorders>
            <w:vAlign w:val="center"/>
          </w:tcPr>
          <w:p w14:paraId="419ABD6E">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6" w:type="dxa"/>
            <w:tcBorders>
              <w:top w:val="single" w:color="auto" w:sz="4" w:space="0"/>
              <w:left w:val="single" w:color="auto" w:sz="4" w:space="0"/>
              <w:bottom w:val="single" w:color="auto" w:sz="8" w:space="0"/>
              <w:right w:val="single" w:color="auto" w:sz="4" w:space="0"/>
            </w:tcBorders>
            <w:vAlign w:val="center"/>
          </w:tcPr>
          <w:p w14:paraId="7922788B">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4</w:t>
            </w:r>
          </w:p>
        </w:tc>
        <w:tc>
          <w:tcPr>
            <w:tcW w:w="425" w:type="dxa"/>
            <w:tcBorders>
              <w:top w:val="single" w:color="auto" w:sz="4" w:space="0"/>
              <w:left w:val="single" w:color="auto" w:sz="4" w:space="0"/>
              <w:bottom w:val="single" w:color="auto" w:sz="8" w:space="0"/>
              <w:right w:val="single" w:color="auto" w:sz="4" w:space="0"/>
            </w:tcBorders>
            <w:vAlign w:val="center"/>
          </w:tcPr>
          <w:p w14:paraId="36F76961">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12</w:t>
            </w:r>
          </w:p>
        </w:tc>
        <w:tc>
          <w:tcPr>
            <w:tcW w:w="425" w:type="dxa"/>
            <w:tcBorders>
              <w:top w:val="single" w:color="auto" w:sz="4" w:space="0"/>
              <w:left w:val="single" w:color="auto" w:sz="4" w:space="0"/>
              <w:bottom w:val="single" w:color="auto" w:sz="8" w:space="0"/>
              <w:right w:val="single" w:color="auto" w:sz="4" w:space="0"/>
            </w:tcBorders>
            <w:vAlign w:val="center"/>
          </w:tcPr>
          <w:p w14:paraId="580E2C95">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F9F40BA">
            <w:pPr>
              <w:jc w:val="center"/>
              <w:rPr>
                <w:rFonts w:hint="eastAsia"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4E07628B">
            <w:pPr>
              <w:widowControl/>
              <w:jc w:val="center"/>
              <w:rPr>
                <w:rFonts w:ascii="宋体" w:hAnsi="宋体"/>
                <w:color w:val="000000" w:themeColor="text1"/>
                <w:kern w:val="0"/>
                <w:sz w:val="18"/>
                <w:szCs w:val="18"/>
              </w:rPr>
            </w:pPr>
          </w:p>
        </w:tc>
      </w:tr>
    </w:tbl>
    <w:p w14:paraId="206DAC0D">
      <w:pPr>
        <w:pStyle w:val="58"/>
        <w:ind w:firstLine="420"/>
        <w:rPr>
          <w:color w:val="000000" w:themeColor="text1"/>
        </w:rPr>
      </w:pPr>
    </w:p>
    <w:p w14:paraId="3BC37CB3">
      <w:pPr>
        <w:pStyle w:val="58"/>
        <w:ind w:firstLine="420"/>
        <w:rPr>
          <w:color w:val="000000" w:themeColor="text1"/>
        </w:rPr>
      </w:pPr>
    </w:p>
    <w:tbl>
      <w:tblPr>
        <w:tblStyle w:val="28"/>
        <w:tblW w:w="14298"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567"/>
        <w:gridCol w:w="709"/>
        <w:gridCol w:w="4385"/>
        <w:gridCol w:w="1842"/>
        <w:gridCol w:w="3544"/>
        <w:gridCol w:w="425"/>
        <w:gridCol w:w="426"/>
        <w:gridCol w:w="425"/>
        <w:gridCol w:w="425"/>
        <w:gridCol w:w="425"/>
        <w:gridCol w:w="548"/>
      </w:tblGrid>
      <w:tr w14:paraId="396AF3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8" w:space="0"/>
              <w:left w:val="single" w:color="auto" w:sz="8" w:space="0"/>
              <w:bottom w:val="single" w:color="auto" w:sz="8" w:space="0"/>
              <w:right w:val="single" w:color="auto" w:sz="4" w:space="0"/>
            </w:tcBorders>
            <w:vAlign w:val="center"/>
          </w:tcPr>
          <w:p w14:paraId="1DA19F4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序号</w:t>
            </w:r>
          </w:p>
        </w:tc>
        <w:tc>
          <w:tcPr>
            <w:tcW w:w="1276" w:type="dxa"/>
            <w:gridSpan w:val="2"/>
            <w:tcBorders>
              <w:top w:val="single" w:color="auto" w:sz="8" w:space="0"/>
              <w:left w:val="single" w:color="auto" w:sz="4" w:space="0"/>
              <w:bottom w:val="single" w:color="auto" w:sz="8" w:space="0"/>
              <w:right w:val="single" w:color="auto" w:sz="4" w:space="0"/>
            </w:tcBorders>
            <w:vAlign w:val="center"/>
          </w:tcPr>
          <w:p w14:paraId="6EBBFB4A">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检查项目</w:t>
            </w:r>
          </w:p>
        </w:tc>
        <w:tc>
          <w:tcPr>
            <w:tcW w:w="4385" w:type="dxa"/>
            <w:tcBorders>
              <w:top w:val="single" w:color="auto" w:sz="8" w:space="0"/>
              <w:left w:val="single" w:color="auto" w:sz="4" w:space="0"/>
              <w:bottom w:val="single" w:color="auto" w:sz="8" w:space="0"/>
              <w:right w:val="single" w:color="auto" w:sz="4" w:space="0"/>
            </w:tcBorders>
            <w:vAlign w:val="center"/>
          </w:tcPr>
          <w:p w14:paraId="2E41D5E2">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风险源</w:t>
            </w:r>
          </w:p>
        </w:tc>
        <w:tc>
          <w:tcPr>
            <w:tcW w:w="1842" w:type="dxa"/>
            <w:tcBorders>
              <w:top w:val="single" w:color="auto" w:sz="8" w:space="0"/>
              <w:left w:val="single" w:color="auto" w:sz="4" w:space="0"/>
              <w:bottom w:val="single" w:color="auto" w:sz="8" w:space="0"/>
              <w:right w:val="single" w:color="auto" w:sz="4" w:space="0"/>
            </w:tcBorders>
            <w:vAlign w:val="center"/>
          </w:tcPr>
          <w:p w14:paraId="34258908">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可能导致的事故特征及后果</w:t>
            </w:r>
          </w:p>
        </w:tc>
        <w:tc>
          <w:tcPr>
            <w:tcW w:w="3544" w:type="dxa"/>
            <w:tcBorders>
              <w:top w:val="single" w:color="auto" w:sz="8" w:space="0"/>
              <w:left w:val="single" w:color="auto" w:sz="4" w:space="0"/>
              <w:bottom w:val="single" w:color="auto" w:sz="8" w:space="0"/>
              <w:right w:val="single" w:color="auto" w:sz="4" w:space="0"/>
            </w:tcBorders>
            <w:vAlign w:val="center"/>
          </w:tcPr>
          <w:p w14:paraId="362E0989">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控制措施</w:t>
            </w:r>
          </w:p>
        </w:tc>
        <w:tc>
          <w:tcPr>
            <w:tcW w:w="425" w:type="dxa"/>
            <w:tcBorders>
              <w:top w:val="single" w:color="auto" w:sz="8" w:space="0"/>
              <w:left w:val="single" w:color="auto" w:sz="4" w:space="0"/>
              <w:bottom w:val="single" w:color="auto" w:sz="8" w:space="0"/>
              <w:right w:val="single" w:color="auto" w:sz="4" w:space="0"/>
            </w:tcBorders>
            <w:vAlign w:val="center"/>
          </w:tcPr>
          <w:p w14:paraId="6DAC4DEE">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可能性  L</w:t>
            </w:r>
          </w:p>
        </w:tc>
        <w:tc>
          <w:tcPr>
            <w:tcW w:w="426" w:type="dxa"/>
            <w:tcBorders>
              <w:top w:val="single" w:color="auto" w:sz="8" w:space="0"/>
              <w:left w:val="single" w:color="auto" w:sz="4" w:space="0"/>
              <w:bottom w:val="single" w:color="auto" w:sz="8" w:space="0"/>
              <w:right w:val="single" w:color="auto" w:sz="4" w:space="0"/>
            </w:tcBorders>
            <w:vAlign w:val="center"/>
          </w:tcPr>
          <w:p w14:paraId="42B33D81">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严重性  S</w:t>
            </w:r>
          </w:p>
        </w:tc>
        <w:tc>
          <w:tcPr>
            <w:tcW w:w="425" w:type="dxa"/>
            <w:tcBorders>
              <w:top w:val="single" w:color="auto" w:sz="8" w:space="0"/>
              <w:left w:val="single" w:color="auto" w:sz="4" w:space="0"/>
              <w:bottom w:val="single" w:color="auto" w:sz="8" w:space="0"/>
              <w:right w:val="single" w:color="auto" w:sz="4" w:space="0"/>
            </w:tcBorders>
            <w:vAlign w:val="center"/>
          </w:tcPr>
          <w:p w14:paraId="2C832A4B">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风险度  R</w:t>
            </w:r>
          </w:p>
        </w:tc>
        <w:tc>
          <w:tcPr>
            <w:tcW w:w="425" w:type="dxa"/>
            <w:tcBorders>
              <w:top w:val="single" w:color="auto" w:sz="8" w:space="0"/>
              <w:left w:val="single" w:color="auto" w:sz="4" w:space="0"/>
              <w:bottom w:val="single" w:color="auto" w:sz="8" w:space="0"/>
              <w:right w:val="single" w:color="auto" w:sz="4" w:space="0"/>
            </w:tcBorders>
            <w:vAlign w:val="center"/>
          </w:tcPr>
          <w:p w14:paraId="137D706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风险等级</w:t>
            </w:r>
          </w:p>
        </w:tc>
        <w:tc>
          <w:tcPr>
            <w:tcW w:w="425" w:type="dxa"/>
            <w:tcBorders>
              <w:top w:val="single" w:color="auto" w:sz="8" w:space="0"/>
              <w:left w:val="single" w:color="auto" w:sz="4" w:space="0"/>
              <w:bottom w:val="single" w:color="auto" w:sz="8" w:space="0"/>
              <w:right w:val="single" w:color="auto" w:sz="4" w:space="0"/>
            </w:tcBorders>
            <w:vAlign w:val="center"/>
          </w:tcPr>
          <w:p w14:paraId="3BEF5A9C">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风险色标</w:t>
            </w:r>
          </w:p>
        </w:tc>
        <w:tc>
          <w:tcPr>
            <w:tcW w:w="548" w:type="dxa"/>
            <w:tcBorders>
              <w:top w:val="single" w:color="auto" w:sz="8" w:space="0"/>
              <w:left w:val="single" w:color="auto" w:sz="4" w:space="0"/>
              <w:bottom w:val="single" w:color="auto" w:sz="8" w:space="0"/>
              <w:right w:val="single" w:color="auto" w:sz="8" w:space="0"/>
            </w:tcBorders>
            <w:vAlign w:val="center"/>
          </w:tcPr>
          <w:p w14:paraId="2A1BBDDD">
            <w:pPr>
              <w:widowControl/>
              <w:jc w:val="center"/>
              <w:rPr>
                <w:rFonts w:ascii="宋体" w:hAnsi="宋体"/>
                <w:bCs/>
                <w:color w:val="000000" w:themeColor="text1"/>
                <w:kern w:val="0"/>
                <w:sz w:val="18"/>
                <w:szCs w:val="18"/>
              </w:rPr>
            </w:pPr>
            <w:r>
              <w:rPr>
                <w:rFonts w:hint="eastAsia" w:ascii="宋体" w:hAnsi="宋体"/>
                <w:bCs/>
                <w:color w:val="000000" w:themeColor="text1"/>
                <w:kern w:val="0"/>
                <w:sz w:val="18"/>
                <w:szCs w:val="18"/>
              </w:rPr>
              <w:t>备注</w:t>
            </w:r>
          </w:p>
        </w:tc>
      </w:tr>
      <w:tr w14:paraId="2F6DC1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86" w:hRule="atLeast"/>
        </w:trPr>
        <w:tc>
          <w:tcPr>
            <w:tcW w:w="577" w:type="dxa"/>
            <w:tcBorders>
              <w:top w:val="single" w:color="auto" w:sz="8" w:space="0"/>
              <w:left w:val="single" w:color="auto" w:sz="8" w:space="0"/>
              <w:bottom w:val="single" w:color="auto" w:sz="4" w:space="0"/>
              <w:right w:val="single" w:color="auto" w:sz="4" w:space="0"/>
            </w:tcBorders>
            <w:vAlign w:val="center"/>
          </w:tcPr>
          <w:p w14:paraId="07FB4C47">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54</w:t>
            </w:r>
          </w:p>
        </w:tc>
        <w:tc>
          <w:tcPr>
            <w:tcW w:w="567" w:type="dxa"/>
            <w:vMerge w:val="restart"/>
            <w:tcBorders>
              <w:top w:val="nil"/>
              <w:left w:val="single" w:color="auto" w:sz="4" w:space="0"/>
              <w:bottom w:val="single" w:color="auto" w:sz="4" w:space="0"/>
              <w:right w:val="single" w:color="auto" w:sz="4" w:space="0"/>
            </w:tcBorders>
            <w:vAlign w:val="center"/>
          </w:tcPr>
          <w:p w14:paraId="4DE4549D">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设备</w:t>
            </w:r>
          </w:p>
          <w:p w14:paraId="06624448">
            <w:pPr>
              <w:widowControl/>
              <w:jc w:val="center"/>
              <w:rPr>
                <w:rFonts w:ascii="宋体" w:hAnsi="宋体"/>
                <w:color w:val="000000" w:themeColor="text1"/>
                <w:kern w:val="0"/>
                <w:sz w:val="18"/>
                <w:szCs w:val="18"/>
              </w:rPr>
            </w:pPr>
            <w:r>
              <w:rPr>
                <w:rFonts w:hint="eastAsia" w:ascii="宋体" w:hAnsi="宋体"/>
                <w:color w:val="000000" w:themeColor="text1"/>
                <w:kern w:val="0"/>
                <w:sz w:val="18"/>
                <w:szCs w:val="18"/>
              </w:rPr>
              <w:t>本体</w:t>
            </w:r>
          </w:p>
        </w:tc>
        <w:tc>
          <w:tcPr>
            <w:tcW w:w="709" w:type="dxa"/>
            <w:tcBorders>
              <w:top w:val="single" w:color="auto" w:sz="8" w:space="0"/>
              <w:left w:val="single" w:color="auto" w:sz="4" w:space="0"/>
              <w:bottom w:val="single" w:color="auto" w:sz="4" w:space="0"/>
              <w:right w:val="single" w:color="auto" w:sz="4" w:space="0"/>
            </w:tcBorders>
            <w:vAlign w:val="center"/>
          </w:tcPr>
          <w:p w14:paraId="1FCD8664">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缓冲器及端部止挡</w:t>
            </w:r>
          </w:p>
        </w:tc>
        <w:tc>
          <w:tcPr>
            <w:tcW w:w="4385" w:type="dxa"/>
            <w:tcBorders>
              <w:top w:val="single" w:color="auto" w:sz="8" w:space="0"/>
              <w:left w:val="single" w:color="auto" w:sz="4" w:space="0"/>
              <w:bottom w:val="single" w:color="auto" w:sz="4" w:space="0"/>
              <w:right w:val="single" w:color="auto" w:sz="4" w:space="0"/>
            </w:tcBorders>
            <w:vAlign w:val="center"/>
          </w:tcPr>
          <w:p w14:paraId="0C8C7332">
            <w:pPr>
              <w:spacing w:line="240" w:lineRule="auto"/>
              <w:rPr>
                <w:rFonts w:hint="default" w:ascii="宋体" w:hAnsi="宋体"/>
                <w:color w:val="000000" w:themeColor="text1"/>
                <w:sz w:val="18"/>
                <w:szCs w:val="18"/>
                <w:lang w:val="en-US"/>
              </w:rPr>
            </w:pPr>
            <w:r>
              <w:rPr>
                <w:rFonts w:hint="eastAsia" w:ascii="宋体" w:hAnsi="宋体"/>
                <w:color w:val="000000" w:themeColor="text1"/>
                <w:sz w:val="18"/>
                <w:szCs w:val="18"/>
                <w:lang w:val="en-US" w:eastAsia="zh-CN"/>
              </w:rPr>
              <w:t>缓冲器及端部止挡零部件缺失、位置设置不符合GB/T5031的规定</w:t>
            </w:r>
          </w:p>
        </w:tc>
        <w:tc>
          <w:tcPr>
            <w:tcW w:w="1842" w:type="dxa"/>
            <w:tcBorders>
              <w:top w:val="single" w:color="auto" w:sz="8" w:space="0"/>
              <w:left w:val="single" w:color="auto" w:sz="4" w:space="0"/>
              <w:bottom w:val="single" w:color="auto" w:sz="4" w:space="0"/>
              <w:right w:val="single" w:color="auto" w:sz="4" w:space="0"/>
            </w:tcBorders>
            <w:vAlign w:val="center"/>
          </w:tcPr>
          <w:p w14:paraId="67040F24">
            <w:pPr>
              <w:pStyle w:val="236"/>
              <w:spacing w:before="6" w:beforeAutospacing="0"/>
              <w:ind w:left="27" w:right="118"/>
              <w:rPr>
                <w:rFonts w:hint="eastAsia" w:eastAsia="宋体" w:cs="Times New Roman"/>
                <w:color w:val="000000" w:themeColor="text1"/>
                <w:sz w:val="18"/>
                <w:szCs w:val="18"/>
                <w:lang w:eastAsia="zh-CN"/>
              </w:rPr>
            </w:pPr>
            <w:r>
              <w:rPr>
                <w:rFonts w:hint="eastAsia" w:cs="Times New Roman"/>
                <w:color w:val="000000" w:themeColor="text1"/>
                <w:sz w:val="18"/>
                <w:szCs w:val="18"/>
                <w:lang w:val="en-US" w:eastAsia="zh-CN"/>
              </w:rPr>
              <w:t>故障</w:t>
            </w:r>
            <w:r>
              <w:rPr>
                <w:rFonts w:hint="eastAsia" w:cs="Times New Roman"/>
                <w:color w:val="000000" w:themeColor="text1"/>
                <w:sz w:val="18"/>
                <w:szCs w:val="18"/>
              </w:rPr>
              <w:t>、</w:t>
            </w:r>
            <w:r>
              <w:rPr>
                <w:rFonts w:hint="eastAsia" w:cs="Times New Roman"/>
                <w:color w:val="000000" w:themeColor="text1"/>
                <w:sz w:val="18"/>
                <w:szCs w:val="18"/>
                <w:lang w:val="en-US" w:eastAsia="zh-CN"/>
              </w:rPr>
              <w:t>碰撞</w:t>
            </w:r>
            <w:r>
              <w:rPr>
                <w:rFonts w:hint="eastAsia" w:cs="Times New Roman"/>
                <w:color w:val="000000" w:themeColor="text1"/>
                <w:sz w:val="18"/>
                <w:szCs w:val="18"/>
              </w:rPr>
              <w:t>、</w:t>
            </w:r>
            <w:r>
              <w:rPr>
                <w:rFonts w:hint="eastAsia" w:cs="Times New Roman"/>
                <w:color w:val="000000" w:themeColor="text1"/>
                <w:sz w:val="18"/>
                <w:szCs w:val="18"/>
                <w:lang w:val="en-US" w:eastAsia="zh-CN"/>
              </w:rPr>
              <w:t>坠落</w:t>
            </w:r>
          </w:p>
        </w:tc>
        <w:tc>
          <w:tcPr>
            <w:tcW w:w="3544" w:type="dxa"/>
            <w:tcBorders>
              <w:top w:val="single" w:color="auto" w:sz="8" w:space="0"/>
              <w:left w:val="single" w:color="auto" w:sz="4" w:space="0"/>
              <w:bottom w:val="single" w:color="auto" w:sz="4" w:space="0"/>
              <w:right w:val="single" w:color="auto" w:sz="4" w:space="0"/>
            </w:tcBorders>
            <w:vAlign w:val="center"/>
          </w:tcPr>
          <w:p w14:paraId="041467FC">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安装时应按照</w:t>
            </w:r>
            <w:r>
              <w:rPr>
                <w:rFonts w:hint="eastAsia" w:ascii="宋体" w:hAnsi="宋体"/>
                <w:color w:val="000000" w:themeColor="text1"/>
                <w:sz w:val="18"/>
                <w:szCs w:val="18"/>
                <w:lang w:val="en-US" w:eastAsia="zh-CN"/>
              </w:rPr>
              <w:t>GB/T5031的规定</w:t>
            </w:r>
            <w:r>
              <w:rPr>
                <w:rFonts w:hint="eastAsia"/>
                <w:color w:val="000000" w:themeColor="text1"/>
                <w:sz w:val="18"/>
                <w:szCs w:val="18"/>
                <w:lang w:val="en-US" w:eastAsia="zh-CN"/>
              </w:rPr>
              <w:t>设置</w:t>
            </w:r>
            <w:r>
              <w:rPr>
                <w:rFonts w:hint="eastAsia" w:ascii="宋体" w:hAnsi="宋体"/>
                <w:color w:val="000000" w:themeColor="text1"/>
                <w:sz w:val="18"/>
                <w:szCs w:val="18"/>
                <w:lang w:val="en-US" w:eastAsia="zh-CN"/>
              </w:rPr>
              <w:t>缓冲器及端部止挡</w:t>
            </w:r>
            <w:r>
              <w:rPr>
                <w:rFonts w:hint="eastAsia"/>
                <w:color w:val="000000" w:themeColor="text1"/>
                <w:sz w:val="18"/>
                <w:szCs w:val="18"/>
                <w:lang w:val="en-US" w:eastAsia="zh-CN"/>
              </w:rPr>
              <w:t>，定期检查</w:t>
            </w:r>
            <w:r>
              <w:rPr>
                <w:rFonts w:hint="eastAsia" w:ascii="宋体" w:hAnsi="宋体"/>
                <w:color w:val="000000" w:themeColor="text1"/>
                <w:sz w:val="18"/>
                <w:szCs w:val="18"/>
                <w:lang w:val="en-US" w:eastAsia="zh-CN"/>
              </w:rPr>
              <w:t>缓冲器及端部止挡</w:t>
            </w:r>
            <w:r>
              <w:rPr>
                <w:rFonts w:hint="eastAsia"/>
                <w:color w:val="000000" w:themeColor="text1"/>
                <w:sz w:val="18"/>
                <w:szCs w:val="18"/>
                <w:lang w:val="en-US" w:eastAsia="zh-CN"/>
              </w:rPr>
              <w:t>的零部件是否缺失或老化，不符合规定时应及时更换或维修</w:t>
            </w:r>
          </w:p>
        </w:tc>
        <w:tc>
          <w:tcPr>
            <w:tcW w:w="425" w:type="dxa"/>
            <w:tcBorders>
              <w:top w:val="single" w:color="auto" w:sz="8" w:space="0"/>
              <w:left w:val="single" w:color="auto" w:sz="4" w:space="0"/>
              <w:bottom w:val="single" w:color="auto" w:sz="4" w:space="0"/>
              <w:right w:val="single" w:color="auto" w:sz="4" w:space="0"/>
            </w:tcBorders>
            <w:vAlign w:val="center"/>
          </w:tcPr>
          <w:p w14:paraId="3850F49A">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8" w:space="0"/>
              <w:left w:val="single" w:color="auto" w:sz="4" w:space="0"/>
              <w:bottom w:val="single" w:color="auto" w:sz="4" w:space="0"/>
              <w:right w:val="single" w:color="auto" w:sz="4" w:space="0"/>
            </w:tcBorders>
            <w:vAlign w:val="center"/>
          </w:tcPr>
          <w:p w14:paraId="2D2EF097">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8" w:space="0"/>
              <w:left w:val="single" w:color="auto" w:sz="4" w:space="0"/>
              <w:bottom w:val="single" w:color="auto" w:sz="4" w:space="0"/>
              <w:right w:val="single" w:color="auto" w:sz="4" w:space="0"/>
            </w:tcBorders>
            <w:vAlign w:val="center"/>
          </w:tcPr>
          <w:p w14:paraId="726E1AD3">
            <w:pPr>
              <w:jc w:val="center"/>
              <w:rPr>
                <w:rFonts w:ascii="宋体" w:hAnsi="宋体"/>
                <w:color w:val="000000" w:themeColor="text1"/>
                <w:sz w:val="18"/>
                <w:szCs w:val="18"/>
              </w:rPr>
            </w:pPr>
            <w:r>
              <w:rPr>
                <w:rFonts w:ascii="宋体" w:hAnsi="宋体"/>
                <w:color w:val="000000" w:themeColor="text1"/>
                <w:sz w:val="18"/>
                <w:szCs w:val="18"/>
              </w:rPr>
              <w:t>8</w:t>
            </w:r>
          </w:p>
        </w:tc>
        <w:tc>
          <w:tcPr>
            <w:tcW w:w="425" w:type="dxa"/>
            <w:tcBorders>
              <w:top w:val="single" w:color="auto" w:sz="8" w:space="0"/>
              <w:left w:val="single" w:color="auto" w:sz="4" w:space="0"/>
              <w:bottom w:val="single" w:color="auto" w:sz="4" w:space="0"/>
              <w:right w:val="single" w:color="auto" w:sz="4" w:space="0"/>
            </w:tcBorders>
            <w:vAlign w:val="center"/>
          </w:tcPr>
          <w:p w14:paraId="384D1889">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8" w:space="0"/>
              <w:left w:val="single" w:color="auto" w:sz="4" w:space="0"/>
              <w:bottom w:val="single" w:color="auto" w:sz="4" w:space="0"/>
              <w:right w:val="single" w:color="auto" w:sz="4" w:space="0"/>
            </w:tcBorders>
            <w:shd w:val="clear" w:color="auto" w:fill="FFFFFF"/>
            <w:vAlign w:val="center"/>
          </w:tcPr>
          <w:p w14:paraId="307F1509">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8" w:space="0"/>
              <w:left w:val="single" w:color="auto" w:sz="4" w:space="0"/>
              <w:bottom w:val="single" w:color="auto" w:sz="4" w:space="0"/>
              <w:right w:val="single" w:color="auto" w:sz="8" w:space="0"/>
            </w:tcBorders>
            <w:shd w:val="clear" w:color="auto" w:fill="FFFFFF"/>
          </w:tcPr>
          <w:p w14:paraId="0EA5EBB5">
            <w:pPr>
              <w:widowControl/>
              <w:jc w:val="center"/>
              <w:rPr>
                <w:rFonts w:ascii="宋体" w:hAnsi="宋体"/>
                <w:color w:val="000000" w:themeColor="text1"/>
                <w:kern w:val="0"/>
                <w:sz w:val="18"/>
                <w:szCs w:val="18"/>
              </w:rPr>
            </w:pPr>
          </w:p>
        </w:tc>
      </w:tr>
      <w:tr w14:paraId="39C3A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0" w:hRule="atLeast"/>
        </w:trPr>
        <w:tc>
          <w:tcPr>
            <w:tcW w:w="577" w:type="dxa"/>
            <w:tcBorders>
              <w:top w:val="single" w:color="auto" w:sz="4" w:space="0"/>
              <w:left w:val="single" w:color="auto" w:sz="8" w:space="0"/>
              <w:bottom w:val="single" w:color="auto" w:sz="4" w:space="0"/>
              <w:right w:val="single" w:color="auto" w:sz="4" w:space="0"/>
            </w:tcBorders>
            <w:vAlign w:val="center"/>
          </w:tcPr>
          <w:p w14:paraId="4434DE20">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55</w:t>
            </w:r>
          </w:p>
        </w:tc>
        <w:tc>
          <w:tcPr>
            <w:tcW w:w="0" w:type="auto"/>
            <w:vMerge w:val="continue"/>
            <w:tcBorders>
              <w:top w:val="nil"/>
              <w:left w:val="single" w:color="auto" w:sz="4" w:space="0"/>
              <w:bottom w:val="single" w:color="auto" w:sz="4" w:space="0"/>
              <w:right w:val="single" w:color="auto" w:sz="4" w:space="0"/>
            </w:tcBorders>
            <w:vAlign w:val="center"/>
          </w:tcPr>
          <w:p w14:paraId="4A5CC3B2">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1A72655">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通道与走台</w:t>
            </w:r>
          </w:p>
        </w:tc>
        <w:tc>
          <w:tcPr>
            <w:tcW w:w="4385" w:type="dxa"/>
            <w:tcBorders>
              <w:top w:val="single" w:color="auto" w:sz="4" w:space="0"/>
              <w:left w:val="single" w:color="auto" w:sz="4" w:space="0"/>
              <w:bottom w:val="single" w:color="auto" w:sz="4" w:space="0"/>
              <w:right w:val="single" w:color="auto" w:sz="4" w:space="0"/>
            </w:tcBorders>
            <w:vAlign w:val="center"/>
          </w:tcPr>
          <w:p w14:paraId="5748CC57">
            <w:pPr>
              <w:spacing w:line="240" w:lineRule="auto"/>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塔机各安全通道、走台、工作平台未按照说明书要求安装并固定可靠</w:t>
            </w:r>
          </w:p>
        </w:tc>
        <w:tc>
          <w:tcPr>
            <w:tcW w:w="1842" w:type="dxa"/>
            <w:tcBorders>
              <w:top w:val="single" w:color="auto" w:sz="4" w:space="0"/>
              <w:left w:val="single" w:color="auto" w:sz="4" w:space="0"/>
              <w:bottom w:val="single" w:color="auto" w:sz="4" w:space="0"/>
              <w:right w:val="single" w:color="auto" w:sz="4" w:space="0"/>
            </w:tcBorders>
            <w:vAlign w:val="center"/>
          </w:tcPr>
          <w:p w14:paraId="0A1A1C82">
            <w:pPr>
              <w:pStyle w:val="236"/>
              <w:spacing w:before="6" w:beforeAutospacing="0"/>
              <w:ind w:left="27"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坠落、人员伤亡</w:t>
            </w:r>
          </w:p>
        </w:tc>
        <w:tc>
          <w:tcPr>
            <w:tcW w:w="3544" w:type="dxa"/>
            <w:tcBorders>
              <w:top w:val="single" w:color="auto" w:sz="4" w:space="0"/>
              <w:left w:val="single" w:color="auto" w:sz="4" w:space="0"/>
              <w:bottom w:val="single" w:color="auto" w:sz="4" w:space="0"/>
              <w:right w:val="single" w:color="auto" w:sz="4" w:space="0"/>
            </w:tcBorders>
            <w:vAlign w:val="center"/>
          </w:tcPr>
          <w:p w14:paraId="02EF5C54">
            <w:pPr>
              <w:pStyle w:val="236"/>
              <w:spacing w:before="6" w:beforeAutospacing="0"/>
              <w:ind w:right="118"/>
              <w:rPr>
                <w:rFonts w:hint="default" w:eastAsia="宋体" w:cs="Times New Roman"/>
                <w:color w:val="000000" w:themeColor="text1"/>
                <w:sz w:val="18"/>
                <w:szCs w:val="18"/>
                <w:lang w:val="en-US" w:eastAsia="zh-CN"/>
              </w:rPr>
            </w:pPr>
            <w:r>
              <w:rPr>
                <w:rFonts w:hint="eastAsia" w:cs="Times New Roman"/>
                <w:color w:val="000000" w:themeColor="text1"/>
                <w:sz w:val="18"/>
                <w:szCs w:val="18"/>
                <w:lang w:val="en-US" w:eastAsia="zh-CN"/>
              </w:rPr>
              <w:t>安装时，</w:t>
            </w:r>
            <w:r>
              <w:rPr>
                <w:rFonts w:hint="eastAsia" w:ascii="宋体" w:hAnsi="宋体"/>
                <w:color w:val="000000" w:themeColor="text1"/>
                <w:sz w:val="18"/>
                <w:szCs w:val="18"/>
                <w:lang w:val="en-US" w:eastAsia="zh-CN"/>
              </w:rPr>
              <w:t>塔机各安全通道、走台、工作平台</w:t>
            </w:r>
            <w:r>
              <w:rPr>
                <w:rFonts w:hint="eastAsia"/>
                <w:color w:val="000000" w:themeColor="text1"/>
                <w:sz w:val="18"/>
                <w:szCs w:val="18"/>
                <w:lang w:val="en-US" w:eastAsia="zh-CN"/>
              </w:rPr>
              <w:t>应</w:t>
            </w:r>
            <w:r>
              <w:rPr>
                <w:rFonts w:hint="eastAsia" w:ascii="宋体" w:hAnsi="宋体"/>
                <w:color w:val="000000" w:themeColor="text1"/>
                <w:sz w:val="18"/>
                <w:szCs w:val="18"/>
                <w:lang w:val="en-US" w:eastAsia="zh-CN"/>
              </w:rPr>
              <w:t>按照说明书要求安装并固定可靠</w:t>
            </w:r>
            <w:r>
              <w:rPr>
                <w:rFonts w:hint="eastAsia"/>
                <w:color w:val="000000" w:themeColor="text1"/>
                <w:sz w:val="18"/>
                <w:szCs w:val="18"/>
                <w:lang w:val="en-US" w:eastAsia="zh-CN"/>
              </w:rPr>
              <w:t>，定期检查连接固定装置是否可靠</w:t>
            </w:r>
          </w:p>
        </w:tc>
        <w:tc>
          <w:tcPr>
            <w:tcW w:w="425" w:type="dxa"/>
            <w:tcBorders>
              <w:top w:val="single" w:color="auto" w:sz="4" w:space="0"/>
              <w:left w:val="single" w:color="auto" w:sz="4" w:space="0"/>
              <w:bottom w:val="single" w:color="auto" w:sz="4" w:space="0"/>
              <w:right w:val="single" w:color="auto" w:sz="4" w:space="0"/>
            </w:tcBorders>
            <w:vAlign w:val="center"/>
          </w:tcPr>
          <w:p w14:paraId="5AC293BE">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30D70A00">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vAlign w:val="center"/>
          </w:tcPr>
          <w:p w14:paraId="5B3410DA">
            <w:pPr>
              <w:jc w:val="center"/>
              <w:rPr>
                <w:rFonts w:ascii="宋体" w:hAnsi="宋体"/>
                <w:color w:val="000000" w:themeColor="text1"/>
                <w:sz w:val="18"/>
                <w:szCs w:val="18"/>
              </w:rPr>
            </w:pPr>
            <w:r>
              <w:rPr>
                <w:rFonts w:ascii="宋体" w:hAnsi="宋体"/>
                <w:color w:val="000000" w:themeColor="text1"/>
                <w:sz w:val="18"/>
                <w:szCs w:val="18"/>
              </w:rPr>
              <w:t>6</w:t>
            </w:r>
          </w:p>
        </w:tc>
        <w:tc>
          <w:tcPr>
            <w:tcW w:w="425" w:type="dxa"/>
            <w:tcBorders>
              <w:top w:val="single" w:color="auto" w:sz="4" w:space="0"/>
              <w:left w:val="single" w:color="auto" w:sz="4" w:space="0"/>
              <w:bottom w:val="single" w:color="auto" w:sz="4" w:space="0"/>
              <w:right w:val="single" w:color="auto" w:sz="4" w:space="0"/>
            </w:tcBorders>
            <w:vAlign w:val="center"/>
          </w:tcPr>
          <w:p w14:paraId="4229E9C2">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D28251C">
            <w:pPr>
              <w:jc w:val="center"/>
              <w:rPr>
                <w:rFonts w:ascii="宋体" w:hAnsi="宋体"/>
                <w:color w:val="000000" w:themeColor="text1"/>
                <w:sz w:val="18"/>
                <w:szCs w:val="18"/>
              </w:rPr>
            </w:pPr>
            <w:r>
              <w:rPr>
                <w:rFonts w:hint="eastAsia" w:ascii="宋体" w:hAnsi="宋体"/>
                <w:color w:val="000000" w:themeColor="text1"/>
                <w:sz w:val="18"/>
                <w:szCs w:val="18"/>
              </w:rPr>
              <w:t>蓝</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FBC1AF4">
            <w:pPr>
              <w:widowControl/>
              <w:jc w:val="center"/>
              <w:rPr>
                <w:rFonts w:ascii="宋体" w:hAnsi="宋体"/>
                <w:color w:val="000000" w:themeColor="text1"/>
                <w:kern w:val="0"/>
                <w:sz w:val="18"/>
                <w:szCs w:val="18"/>
              </w:rPr>
            </w:pPr>
          </w:p>
        </w:tc>
      </w:tr>
      <w:tr w14:paraId="4D91D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9" w:hRule="atLeast"/>
        </w:trPr>
        <w:tc>
          <w:tcPr>
            <w:tcW w:w="577" w:type="dxa"/>
            <w:tcBorders>
              <w:top w:val="single" w:color="auto" w:sz="4" w:space="0"/>
              <w:left w:val="single" w:color="auto" w:sz="8" w:space="0"/>
              <w:bottom w:val="single" w:color="auto" w:sz="4" w:space="0"/>
              <w:right w:val="single" w:color="auto" w:sz="4" w:space="0"/>
            </w:tcBorders>
            <w:vAlign w:val="center"/>
          </w:tcPr>
          <w:p w14:paraId="3F758CC3">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56</w:t>
            </w:r>
          </w:p>
        </w:tc>
        <w:tc>
          <w:tcPr>
            <w:tcW w:w="0" w:type="auto"/>
            <w:vMerge w:val="continue"/>
            <w:tcBorders>
              <w:top w:val="nil"/>
              <w:left w:val="single" w:color="auto" w:sz="4" w:space="0"/>
              <w:bottom w:val="single" w:color="auto" w:sz="4" w:space="0"/>
              <w:right w:val="single" w:color="auto" w:sz="4" w:space="0"/>
            </w:tcBorders>
            <w:vAlign w:val="center"/>
          </w:tcPr>
          <w:p w14:paraId="455C728C">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5836132">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安全监控管理系统</w:t>
            </w:r>
          </w:p>
        </w:tc>
        <w:tc>
          <w:tcPr>
            <w:tcW w:w="4385" w:type="dxa"/>
            <w:tcBorders>
              <w:top w:val="single" w:color="auto" w:sz="4" w:space="0"/>
              <w:left w:val="single" w:color="auto" w:sz="4" w:space="0"/>
              <w:bottom w:val="single" w:color="auto" w:sz="4" w:space="0"/>
              <w:right w:val="single" w:color="auto" w:sz="4" w:space="0"/>
            </w:tcBorders>
            <w:vAlign w:val="center"/>
          </w:tcPr>
          <w:p w14:paraId="3D07688D">
            <w:pPr>
              <w:numPr>
                <w:ilvl w:val="0"/>
                <w:numId w:val="60"/>
              </w:numPr>
              <w:rPr>
                <w:rFonts w:hint="eastAsia" w:ascii="宋体" w:hAnsi="宋体"/>
                <w:color w:val="000000" w:themeColor="text1"/>
                <w:sz w:val="18"/>
                <w:szCs w:val="18"/>
                <w:lang w:val="en-US" w:eastAsia="zh-CN"/>
              </w:rPr>
            </w:pPr>
            <w:r>
              <w:rPr>
                <w:rFonts w:hint="eastAsia" w:ascii="宋体" w:hAnsi="宋体"/>
                <w:color w:val="000000" w:themeColor="text1"/>
                <w:sz w:val="18"/>
                <w:szCs w:val="18"/>
                <w:lang w:val="en-US" w:eastAsia="zh-CN"/>
              </w:rPr>
              <w:t>未按照规定设置或不匹配</w:t>
            </w:r>
          </w:p>
          <w:p w14:paraId="2175C928">
            <w:pPr>
              <w:numPr>
                <w:ilvl w:val="0"/>
                <w:numId w:val="6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信息采集不符合规定要求</w:t>
            </w:r>
          </w:p>
          <w:p w14:paraId="3BDDE8F2">
            <w:pPr>
              <w:numPr>
                <w:ilvl w:val="0"/>
                <w:numId w:val="60"/>
              </w:numPr>
              <w:rPr>
                <w:rFonts w:hint="default" w:ascii="宋体" w:hAnsi="宋体"/>
                <w:color w:val="000000" w:themeColor="text1"/>
                <w:sz w:val="18"/>
                <w:szCs w:val="18"/>
                <w:lang w:val="en-US" w:eastAsia="zh-CN"/>
              </w:rPr>
            </w:pPr>
            <w:r>
              <w:rPr>
                <w:rFonts w:hint="eastAsia" w:ascii="宋体" w:hAnsi="宋体"/>
                <w:color w:val="000000" w:themeColor="text1"/>
                <w:sz w:val="18"/>
                <w:szCs w:val="18"/>
                <w:lang w:val="en-US" w:eastAsia="zh-CN"/>
              </w:rPr>
              <w:t>损坏或输出异常</w:t>
            </w:r>
          </w:p>
        </w:tc>
        <w:tc>
          <w:tcPr>
            <w:tcW w:w="1842" w:type="dxa"/>
            <w:tcBorders>
              <w:top w:val="single" w:color="auto" w:sz="4" w:space="0"/>
              <w:left w:val="single" w:color="auto" w:sz="4" w:space="0"/>
              <w:bottom w:val="single" w:color="auto" w:sz="4" w:space="0"/>
              <w:right w:val="single" w:color="auto" w:sz="4" w:space="0"/>
            </w:tcBorders>
            <w:vAlign w:val="center"/>
          </w:tcPr>
          <w:p w14:paraId="7A26B50C">
            <w:pPr>
              <w:pStyle w:val="15"/>
              <w:spacing w:after="0" w:line="320" w:lineRule="exact"/>
              <w:ind w:left="0" w:leftChars="0"/>
              <w:rPr>
                <w:rFonts w:ascii="宋体" w:hAnsi="宋体"/>
                <w:color w:val="000000" w:themeColor="text1"/>
                <w:sz w:val="18"/>
                <w:szCs w:val="18"/>
              </w:rPr>
            </w:pPr>
            <w:r>
              <w:rPr>
                <w:rFonts w:hint="eastAsia" w:ascii="宋体" w:hAnsi="宋体"/>
                <w:color w:val="000000" w:themeColor="text1"/>
                <w:sz w:val="18"/>
                <w:szCs w:val="18"/>
              </w:rPr>
              <w:t>坠落</w:t>
            </w:r>
          </w:p>
        </w:tc>
        <w:tc>
          <w:tcPr>
            <w:tcW w:w="3544" w:type="dxa"/>
            <w:tcBorders>
              <w:top w:val="single" w:color="auto" w:sz="4" w:space="0"/>
              <w:left w:val="single" w:color="auto" w:sz="4" w:space="0"/>
              <w:bottom w:val="single" w:color="auto" w:sz="4" w:space="0"/>
              <w:right w:val="single" w:color="auto" w:sz="4" w:space="0"/>
            </w:tcBorders>
            <w:vAlign w:val="center"/>
          </w:tcPr>
          <w:p w14:paraId="547C6EEE">
            <w:pPr>
              <w:spacing w:line="320" w:lineRule="exact"/>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安装时，应按照规定选择匹配的安全监控管理系统，定期检查安全监控管理系统各个传感器完好并传输正常，确保安全监控管理系统有效工作，当安全监控管理系统出现损坏或输出异常时，应及时更换或维修调试</w:t>
            </w:r>
          </w:p>
        </w:tc>
        <w:tc>
          <w:tcPr>
            <w:tcW w:w="425" w:type="dxa"/>
            <w:tcBorders>
              <w:top w:val="single" w:color="auto" w:sz="4" w:space="0"/>
              <w:left w:val="single" w:color="auto" w:sz="4" w:space="0"/>
              <w:bottom w:val="single" w:color="auto" w:sz="4" w:space="0"/>
              <w:right w:val="single" w:color="auto" w:sz="4" w:space="0"/>
            </w:tcBorders>
            <w:vAlign w:val="center"/>
          </w:tcPr>
          <w:p w14:paraId="40260C9E">
            <w:pPr>
              <w:jc w:val="center"/>
              <w:rPr>
                <w:rFonts w:ascii="宋体" w:hAnsi="宋体"/>
                <w:color w:val="000000" w:themeColor="text1"/>
                <w:sz w:val="18"/>
                <w:szCs w:val="18"/>
              </w:rPr>
            </w:pPr>
            <w:r>
              <w:rPr>
                <w:rFonts w:ascii="宋体" w:hAnsi="宋体"/>
                <w:color w:val="000000" w:themeColor="text1"/>
                <w:sz w:val="18"/>
                <w:szCs w:val="18"/>
              </w:rPr>
              <w:t>2</w:t>
            </w:r>
          </w:p>
        </w:tc>
        <w:tc>
          <w:tcPr>
            <w:tcW w:w="426" w:type="dxa"/>
            <w:tcBorders>
              <w:top w:val="single" w:color="auto" w:sz="4" w:space="0"/>
              <w:left w:val="single" w:color="auto" w:sz="4" w:space="0"/>
              <w:bottom w:val="single" w:color="auto" w:sz="4" w:space="0"/>
              <w:right w:val="single" w:color="auto" w:sz="4" w:space="0"/>
            </w:tcBorders>
            <w:vAlign w:val="center"/>
          </w:tcPr>
          <w:p w14:paraId="44900F4C">
            <w:pPr>
              <w:jc w:val="center"/>
              <w:rPr>
                <w:rFonts w:ascii="宋体" w:hAnsi="宋体"/>
                <w:color w:val="000000" w:themeColor="text1"/>
                <w:sz w:val="18"/>
                <w:szCs w:val="18"/>
              </w:rPr>
            </w:pPr>
            <w:r>
              <w:rPr>
                <w:rFonts w:ascii="宋体" w:hAnsi="宋体"/>
                <w:color w:val="000000" w:themeColor="text1"/>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14:paraId="5A2BF50D">
            <w:pPr>
              <w:jc w:val="center"/>
              <w:rPr>
                <w:rFonts w:ascii="宋体" w:hAnsi="宋体"/>
                <w:color w:val="000000" w:themeColor="text1"/>
                <w:sz w:val="18"/>
                <w:szCs w:val="18"/>
              </w:rPr>
            </w:pPr>
            <w:r>
              <w:rPr>
                <w:rFonts w:ascii="宋体" w:hAnsi="宋体"/>
                <w:color w:val="000000" w:themeColor="text1"/>
                <w:sz w:val="18"/>
                <w:szCs w:val="18"/>
              </w:rPr>
              <w:t>10</w:t>
            </w:r>
          </w:p>
        </w:tc>
        <w:tc>
          <w:tcPr>
            <w:tcW w:w="425" w:type="dxa"/>
            <w:tcBorders>
              <w:top w:val="single" w:color="auto" w:sz="4" w:space="0"/>
              <w:left w:val="single" w:color="auto" w:sz="4" w:space="0"/>
              <w:bottom w:val="single" w:color="auto" w:sz="4" w:space="0"/>
              <w:right w:val="single" w:color="auto" w:sz="4" w:space="0"/>
            </w:tcBorders>
            <w:vAlign w:val="center"/>
          </w:tcPr>
          <w:p w14:paraId="7EEA73DD">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238F8A9">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2E435F62">
            <w:pPr>
              <w:widowControl/>
              <w:jc w:val="center"/>
              <w:rPr>
                <w:rFonts w:ascii="宋体" w:hAnsi="宋体"/>
                <w:color w:val="000000" w:themeColor="text1"/>
                <w:kern w:val="0"/>
                <w:sz w:val="18"/>
                <w:szCs w:val="18"/>
              </w:rPr>
            </w:pPr>
          </w:p>
        </w:tc>
      </w:tr>
      <w:tr w14:paraId="3D8C09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9" w:hRule="atLeast"/>
        </w:trPr>
        <w:tc>
          <w:tcPr>
            <w:tcW w:w="577" w:type="dxa"/>
            <w:tcBorders>
              <w:top w:val="single" w:color="auto" w:sz="4" w:space="0"/>
              <w:left w:val="single" w:color="auto" w:sz="8" w:space="0"/>
              <w:bottom w:val="single" w:color="auto" w:sz="8" w:space="0"/>
              <w:right w:val="single" w:color="auto" w:sz="4" w:space="0"/>
            </w:tcBorders>
            <w:vAlign w:val="center"/>
          </w:tcPr>
          <w:p w14:paraId="4ACAF10D">
            <w:pPr>
              <w:widowControl/>
              <w:jc w:val="center"/>
              <w:rPr>
                <w:rFonts w:hint="default" w:ascii="宋体" w:hAnsi="宋体" w:eastAsia="宋体"/>
                <w:color w:val="000000" w:themeColor="text1"/>
                <w:kern w:val="0"/>
                <w:sz w:val="18"/>
                <w:szCs w:val="18"/>
                <w:lang w:val="en-US" w:eastAsia="zh-CN"/>
              </w:rPr>
            </w:pPr>
            <w:r>
              <w:rPr>
                <w:rFonts w:hint="eastAsia" w:ascii="宋体" w:hAnsi="宋体"/>
                <w:color w:val="000000" w:themeColor="text1"/>
                <w:kern w:val="0"/>
                <w:sz w:val="18"/>
                <w:szCs w:val="18"/>
                <w:lang w:val="en-US" w:eastAsia="zh-CN"/>
              </w:rPr>
              <w:t>57</w:t>
            </w:r>
          </w:p>
        </w:tc>
        <w:tc>
          <w:tcPr>
            <w:tcW w:w="0" w:type="auto"/>
            <w:vMerge w:val="continue"/>
            <w:tcBorders>
              <w:top w:val="nil"/>
              <w:left w:val="single" w:color="auto" w:sz="4" w:space="0"/>
              <w:bottom w:val="single" w:color="auto" w:sz="4" w:space="0"/>
              <w:right w:val="single" w:color="auto" w:sz="4" w:space="0"/>
            </w:tcBorders>
            <w:vAlign w:val="center"/>
          </w:tcPr>
          <w:p w14:paraId="64BEFAF2">
            <w:pPr>
              <w:widowControl/>
              <w:adjustRightInd/>
              <w:spacing w:line="240" w:lineRule="auto"/>
              <w:jc w:val="left"/>
              <w:rPr>
                <w:rFonts w:ascii="宋体" w:hAnsi="宋体"/>
                <w:color w:val="000000" w:themeColor="text1"/>
                <w:kern w:val="0"/>
                <w:sz w:val="18"/>
                <w:szCs w:val="18"/>
              </w:rPr>
            </w:pPr>
          </w:p>
        </w:tc>
        <w:tc>
          <w:tcPr>
            <w:tcW w:w="709" w:type="dxa"/>
            <w:tcBorders>
              <w:top w:val="single" w:color="auto" w:sz="4" w:space="0"/>
              <w:left w:val="single" w:color="auto" w:sz="4" w:space="0"/>
              <w:bottom w:val="single" w:color="auto" w:sz="8" w:space="0"/>
              <w:right w:val="single" w:color="auto" w:sz="4" w:space="0"/>
            </w:tcBorders>
            <w:vAlign w:val="center"/>
          </w:tcPr>
          <w:p w14:paraId="4C6D78DC">
            <w:pPr>
              <w:jc w:val="cente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lang w:val="en-US" w:eastAsia="zh-CN"/>
              </w:rPr>
              <w:t>标志与标牌</w:t>
            </w:r>
          </w:p>
        </w:tc>
        <w:tc>
          <w:tcPr>
            <w:tcW w:w="4385" w:type="dxa"/>
            <w:tcBorders>
              <w:top w:val="single" w:color="auto" w:sz="4" w:space="0"/>
              <w:left w:val="single" w:color="auto" w:sz="4" w:space="0"/>
              <w:bottom w:val="single" w:color="auto" w:sz="8" w:space="0"/>
              <w:right w:val="single" w:color="auto" w:sz="4" w:space="0"/>
            </w:tcBorders>
            <w:vAlign w:val="center"/>
          </w:tcPr>
          <w:p w14:paraId="59601976">
            <w:pPr>
              <w:rPr>
                <w:rFonts w:hint="default" w:ascii="宋体" w:hAnsi="宋体" w:eastAsia="宋体"/>
                <w:color w:val="000000" w:themeColor="text1"/>
                <w:sz w:val="18"/>
                <w:szCs w:val="18"/>
                <w:lang w:val="en-US" w:eastAsia="zh-CN"/>
              </w:rPr>
            </w:pPr>
            <w:r>
              <w:rPr>
                <w:rFonts w:hint="eastAsia" w:ascii="宋体" w:hAnsi="宋体"/>
                <w:color w:val="000000" w:themeColor="text1"/>
                <w:sz w:val="18"/>
                <w:szCs w:val="18"/>
              </w:rPr>
              <w:t>1.</w:t>
            </w:r>
            <w:r>
              <w:rPr>
                <w:rFonts w:hint="eastAsia" w:ascii="宋体" w:hAnsi="宋体"/>
                <w:color w:val="000000" w:themeColor="text1"/>
                <w:sz w:val="18"/>
                <w:szCs w:val="18"/>
                <w:lang w:val="en-US" w:eastAsia="zh-CN"/>
              </w:rPr>
              <w:t>标志与标牌不清晰、缺失</w:t>
            </w:r>
          </w:p>
        </w:tc>
        <w:tc>
          <w:tcPr>
            <w:tcW w:w="1842" w:type="dxa"/>
            <w:tcBorders>
              <w:top w:val="single" w:color="auto" w:sz="4" w:space="0"/>
              <w:left w:val="single" w:color="auto" w:sz="4" w:space="0"/>
              <w:bottom w:val="single" w:color="auto" w:sz="8" w:space="0"/>
              <w:right w:val="single" w:color="auto" w:sz="4" w:space="0"/>
            </w:tcBorders>
            <w:vAlign w:val="center"/>
          </w:tcPr>
          <w:p w14:paraId="6B3A71FC">
            <w:pPr>
              <w:rPr>
                <w:rFonts w:ascii="宋体" w:hAnsi="宋体"/>
                <w:color w:val="000000" w:themeColor="text1"/>
                <w:sz w:val="18"/>
                <w:szCs w:val="18"/>
              </w:rPr>
            </w:pPr>
            <w:r>
              <w:rPr>
                <w:rFonts w:hint="eastAsia" w:ascii="宋体" w:hAnsi="宋体"/>
                <w:color w:val="000000" w:themeColor="text1"/>
                <w:sz w:val="18"/>
                <w:szCs w:val="18"/>
              </w:rPr>
              <w:t>故障、被困、超速</w:t>
            </w:r>
          </w:p>
        </w:tc>
        <w:tc>
          <w:tcPr>
            <w:tcW w:w="3544" w:type="dxa"/>
            <w:tcBorders>
              <w:top w:val="single" w:color="auto" w:sz="4" w:space="0"/>
              <w:left w:val="single" w:color="auto" w:sz="4" w:space="0"/>
              <w:bottom w:val="single" w:color="auto" w:sz="8" w:space="0"/>
              <w:right w:val="single" w:color="auto" w:sz="4" w:space="0"/>
            </w:tcBorders>
            <w:vAlign w:val="center"/>
          </w:tcPr>
          <w:p w14:paraId="24FF6211">
            <w:pPr>
              <w:rPr>
                <w:rFonts w:ascii="宋体" w:hAnsi="宋体"/>
                <w:color w:val="000000" w:themeColor="text1"/>
                <w:sz w:val="18"/>
                <w:szCs w:val="18"/>
              </w:rPr>
            </w:pPr>
            <w:r>
              <w:rPr>
                <w:rFonts w:hint="eastAsia" w:ascii="宋体" w:hAnsi="宋体"/>
                <w:color w:val="000000" w:themeColor="text1"/>
                <w:sz w:val="18"/>
                <w:szCs w:val="18"/>
              </w:rPr>
              <w:t>更换导靴；更换铭牌、照明等受损部件；加装或修复语音播报系统；紧固对重块，对受损严重的对重块及时更换；重新进行标识</w:t>
            </w:r>
          </w:p>
        </w:tc>
        <w:tc>
          <w:tcPr>
            <w:tcW w:w="425" w:type="dxa"/>
            <w:tcBorders>
              <w:top w:val="single" w:color="auto" w:sz="4" w:space="0"/>
              <w:left w:val="single" w:color="auto" w:sz="4" w:space="0"/>
              <w:bottom w:val="single" w:color="auto" w:sz="8" w:space="0"/>
              <w:right w:val="single" w:color="auto" w:sz="4" w:space="0"/>
            </w:tcBorders>
            <w:vAlign w:val="center"/>
          </w:tcPr>
          <w:p w14:paraId="0FB5BB4D">
            <w:pPr>
              <w:jc w:val="center"/>
              <w:rPr>
                <w:rFonts w:ascii="宋体" w:hAnsi="宋体"/>
                <w:color w:val="000000" w:themeColor="text1"/>
                <w:sz w:val="18"/>
                <w:szCs w:val="18"/>
              </w:rPr>
            </w:pPr>
            <w:r>
              <w:rPr>
                <w:rFonts w:ascii="宋体" w:hAnsi="宋体"/>
                <w:color w:val="000000" w:themeColor="text1"/>
                <w:sz w:val="18"/>
                <w:szCs w:val="18"/>
              </w:rPr>
              <w:t>3</w:t>
            </w:r>
          </w:p>
        </w:tc>
        <w:tc>
          <w:tcPr>
            <w:tcW w:w="426" w:type="dxa"/>
            <w:tcBorders>
              <w:top w:val="single" w:color="auto" w:sz="4" w:space="0"/>
              <w:left w:val="single" w:color="auto" w:sz="4" w:space="0"/>
              <w:bottom w:val="single" w:color="auto" w:sz="8" w:space="0"/>
              <w:right w:val="single" w:color="auto" w:sz="4" w:space="0"/>
            </w:tcBorders>
            <w:vAlign w:val="center"/>
          </w:tcPr>
          <w:p w14:paraId="4A249342">
            <w:pPr>
              <w:jc w:val="center"/>
              <w:rPr>
                <w:rFonts w:ascii="宋体" w:hAnsi="宋体"/>
                <w:color w:val="000000" w:themeColor="text1"/>
                <w:sz w:val="18"/>
                <w:szCs w:val="18"/>
              </w:rPr>
            </w:pPr>
            <w:r>
              <w:rPr>
                <w:rFonts w:ascii="宋体" w:hAnsi="宋体"/>
                <w:color w:val="000000" w:themeColor="text1"/>
                <w:sz w:val="18"/>
                <w:szCs w:val="18"/>
              </w:rPr>
              <w:t>4</w:t>
            </w:r>
          </w:p>
        </w:tc>
        <w:tc>
          <w:tcPr>
            <w:tcW w:w="425" w:type="dxa"/>
            <w:tcBorders>
              <w:top w:val="single" w:color="auto" w:sz="4" w:space="0"/>
              <w:left w:val="single" w:color="auto" w:sz="4" w:space="0"/>
              <w:bottom w:val="single" w:color="auto" w:sz="8" w:space="0"/>
              <w:right w:val="single" w:color="auto" w:sz="4" w:space="0"/>
            </w:tcBorders>
            <w:vAlign w:val="center"/>
          </w:tcPr>
          <w:p w14:paraId="4F938D43">
            <w:pPr>
              <w:jc w:val="center"/>
              <w:rPr>
                <w:rFonts w:ascii="宋体" w:hAnsi="宋体"/>
                <w:color w:val="000000" w:themeColor="text1"/>
                <w:sz w:val="18"/>
                <w:szCs w:val="18"/>
              </w:rPr>
            </w:pPr>
            <w:r>
              <w:rPr>
                <w:rFonts w:ascii="宋体" w:hAnsi="宋体"/>
                <w:color w:val="000000" w:themeColor="text1"/>
                <w:sz w:val="18"/>
                <w:szCs w:val="18"/>
              </w:rPr>
              <w:t>12</w:t>
            </w:r>
          </w:p>
        </w:tc>
        <w:tc>
          <w:tcPr>
            <w:tcW w:w="425" w:type="dxa"/>
            <w:tcBorders>
              <w:top w:val="single" w:color="auto" w:sz="4" w:space="0"/>
              <w:left w:val="single" w:color="auto" w:sz="4" w:space="0"/>
              <w:bottom w:val="single" w:color="auto" w:sz="8" w:space="0"/>
              <w:right w:val="single" w:color="auto" w:sz="4" w:space="0"/>
            </w:tcBorders>
            <w:vAlign w:val="center"/>
          </w:tcPr>
          <w:p w14:paraId="01F08AB7">
            <w:pPr>
              <w:jc w:val="center"/>
              <w:rPr>
                <w:rFonts w:ascii="宋体" w:hAnsi="宋体"/>
                <w:color w:val="000000" w:themeColor="text1"/>
                <w:sz w:val="18"/>
                <w:szCs w:val="18"/>
              </w:rPr>
            </w:pPr>
            <w:r>
              <w:rPr>
                <w:rFonts w:ascii="宋体" w:hAnsi="宋体"/>
                <w:color w:val="000000" w:themeColor="text1"/>
                <w:sz w:val="18"/>
                <w:szCs w:val="18"/>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54E5D3F">
            <w:pPr>
              <w:jc w:val="center"/>
              <w:rPr>
                <w:rFonts w:ascii="宋体" w:hAnsi="宋体"/>
                <w:color w:val="000000" w:themeColor="text1"/>
                <w:sz w:val="18"/>
                <w:szCs w:val="18"/>
              </w:rPr>
            </w:pPr>
            <w:r>
              <w:rPr>
                <w:rFonts w:hint="eastAsia" w:ascii="宋体" w:hAnsi="宋体"/>
                <w:color w:val="000000" w:themeColor="text1"/>
                <w:sz w:val="18"/>
                <w:szCs w:val="18"/>
              </w:rPr>
              <w:t>黄</w:t>
            </w:r>
          </w:p>
        </w:tc>
        <w:tc>
          <w:tcPr>
            <w:tcW w:w="548" w:type="dxa"/>
            <w:tcBorders>
              <w:top w:val="single" w:color="auto" w:sz="4" w:space="0"/>
              <w:left w:val="single" w:color="auto" w:sz="4" w:space="0"/>
              <w:bottom w:val="single" w:color="auto" w:sz="4" w:space="0"/>
              <w:right w:val="single" w:color="auto" w:sz="8" w:space="0"/>
            </w:tcBorders>
            <w:shd w:val="clear" w:color="auto" w:fill="FFFFFF"/>
          </w:tcPr>
          <w:p w14:paraId="678E1C2C">
            <w:pPr>
              <w:widowControl/>
              <w:jc w:val="center"/>
              <w:rPr>
                <w:rFonts w:ascii="宋体" w:hAnsi="宋体"/>
                <w:color w:val="000000" w:themeColor="text1"/>
                <w:kern w:val="0"/>
                <w:sz w:val="18"/>
                <w:szCs w:val="18"/>
              </w:rPr>
            </w:pPr>
          </w:p>
        </w:tc>
      </w:tr>
    </w:tbl>
    <w:p w14:paraId="6C17D051">
      <w:pPr>
        <w:pStyle w:val="58"/>
        <w:ind w:firstLine="420"/>
        <w:rPr>
          <w:color w:val="000000" w:themeColor="text1"/>
        </w:rPr>
      </w:pPr>
    </w:p>
    <w:p w14:paraId="025CAECC">
      <w:pPr>
        <w:widowControl/>
        <w:adjustRightInd/>
        <w:spacing w:line="240" w:lineRule="auto"/>
        <w:jc w:val="left"/>
        <w:rPr>
          <w:color w:val="000000" w:themeColor="text1"/>
        </w:rPr>
      </w:pPr>
      <w:r>
        <w:rPr>
          <w:color w:val="000000" w:themeColor="text1"/>
        </w:rPr>
        <w:br w:type="page"/>
      </w:r>
    </w:p>
    <w:p w14:paraId="7F355B8A">
      <w:pPr>
        <w:pStyle w:val="58"/>
        <w:ind w:firstLine="420"/>
        <w:rPr>
          <w:color w:val="000000" w:themeColor="text1"/>
        </w:rPr>
      </w:pPr>
    </w:p>
    <w:p w14:paraId="254A3CDE">
      <w:pPr>
        <w:pStyle w:val="58"/>
        <w:ind w:firstLine="420"/>
        <w:rPr>
          <w:color w:val="000000" w:themeColor="text1"/>
        </w:rPr>
      </w:pPr>
    </w:p>
    <w:p w14:paraId="4EEBE8D4">
      <w:pPr>
        <w:pStyle w:val="58"/>
        <w:ind w:firstLine="420"/>
        <w:rPr>
          <w:color w:val="000000" w:themeColor="text1"/>
        </w:rPr>
      </w:pPr>
    </w:p>
    <w:p w14:paraId="5BA6962E">
      <w:pPr>
        <w:pStyle w:val="58"/>
        <w:ind w:firstLine="420"/>
        <w:rPr>
          <w:color w:val="000000" w:themeColor="text1"/>
        </w:rPr>
      </w:pPr>
    </w:p>
    <w:p w14:paraId="521C9140">
      <w:pPr>
        <w:pStyle w:val="58"/>
        <w:ind w:firstLine="420"/>
        <w:rPr>
          <w:color w:val="000000" w:themeColor="text1"/>
        </w:rPr>
      </w:pPr>
    </w:p>
    <w:p w14:paraId="4187BA63">
      <w:pPr>
        <w:pStyle w:val="58"/>
        <w:ind w:firstLine="420"/>
        <w:rPr>
          <w:color w:val="000000" w:themeColor="text1"/>
        </w:rPr>
        <w:sectPr>
          <w:headerReference r:id="rId12" w:type="default"/>
          <w:footerReference r:id="rId14" w:type="default"/>
          <w:headerReference r:id="rId13" w:type="even"/>
          <w:footerReference r:id="rId15" w:type="even"/>
          <w:pgSz w:w="16838" w:h="11906" w:orient="landscape"/>
          <w:pgMar w:top="1134" w:right="1871" w:bottom="1134" w:left="1134" w:header="1418" w:footer="1247" w:gutter="284"/>
          <w:cols w:space="425" w:num="1"/>
          <w:formProt w:val="0"/>
          <w:docGrid w:type="lines" w:linePitch="312" w:charSpace="0"/>
        </w:sectPr>
      </w:pPr>
    </w:p>
    <w:p w14:paraId="3A608C1C">
      <w:pPr>
        <w:pStyle w:val="200"/>
        <w:rPr>
          <w:vanish w:val="0"/>
          <w:color w:val="000000" w:themeColor="text1"/>
        </w:rPr>
      </w:pPr>
    </w:p>
    <w:p w14:paraId="4246B651">
      <w:pPr>
        <w:pStyle w:val="201"/>
        <w:rPr>
          <w:vanish w:val="0"/>
          <w:color w:val="000000" w:themeColor="text1"/>
        </w:rPr>
      </w:pPr>
    </w:p>
    <w:p w14:paraId="28D92463">
      <w:pPr>
        <w:pStyle w:val="78"/>
        <w:spacing w:after="156"/>
        <w:rPr>
          <w:color w:val="000000" w:themeColor="text1"/>
        </w:rPr>
      </w:pPr>
      <w:r>
        <w:rPr>
          <w:color w:val="000000" w:themeColor="text1"/>
        </w:rPr>
        <w:br w:type="textWrapping"/>
      </w:r>
      <w:bookmarkStart w:id="152" w:name="_Toc185426297"/>
      <w:bookmarkStart w:id="153" w:name="_Toc185672281"/>
      <w:bookmarkStart w:id="154" w:name="_Toc182083000"/>
      <w:r>
        <w:rPr>
          <w:rFonts w:hint="eastAsia"/>
          <w:color w:val="000000" w:themeColor="text1"/>
        </w:rPr>
        <w:t>（资料性）</w:t>
      </w:r>
      <w:r>
        <w:rPr>
          <w:color w:val="000000" w:themeColor="text1"/>
        </w:rPr>
        <w:br w:type="textWrapping"/>
      </w:r>
      <w:r>
        <w:rPr>
          <w:rFonts w:hint="eastAsia"/>
          <w:color w:val="000000" w:themeColor="text1"/>
        </w:rPr>
        <w:t>风险分级管控清单</w:t>
      </w:r>
      <w:bookmarkEnd w:id="152"/>
      <w:bookmarkEnd w:id="153"/>
      <w:bookmarkEnd w:id="154"/>
    </w:p>
    <w:p w14:paraId="3A1D8DD2">
      <w:pPr>
        <w:pStyle w:val="58"/>
        <w:ind w:firstLine="420"/>
        <w:rPr>
          <w:color w:val="000000" w:themeColor="text1"/>
        </w:rPr>
      </w:pPr>
    </w:p>
    <w:tbl>
      <w:tblPr>
        <w:tblStyle w:val="29"/>
        <w:tblW w:w="103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91"/>
        <w:gridCol w:w="1154"/>
        <w:gridCol w:w="1031"/>
        <w:gridCol w:w="1600"/>
        <w:gridCol w:w="894"/>
        <w:gridCol w:w="895"/>
        <w:gridCol w:w="895"/>
        <w:gridCol w:w="895"/>
        <w:gridCol w:w="895"/>
        <w:gridCol w:w="652"/>
        <w:gridCol w:w="666"/>
      </w:tblGrid>
      <w:tr w14:paraId="7E0EA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tblHeader/>
          <w:jc w:val="center"/>
        </w:trPr>
        <w:tc>
          <w:tcPr>
            <w:tcW w:w="1945" w:type="dxa"/>
            <w:gridSpan w:val="2"/>
            <w:tcBorders>
              <w:top w:val="single" w:color="auto" w:sz="8" w:space="0"/>
              <w:bottom w:val="single" w:color="auto" w:sz="8" w:space="0"/>
            </w:tcBorders>
            <w:shd w:val="clear" w:color="auto" w:fill="auto"/>
            <w:vAlign w:val="center"/>
          </w:tcPr>
          <w:p w14:paraId="247CBD88">
            <w:pPr>
              <w:pStyle w:val="180"/>
              <w:rPr>
                <w:color w:val="000000" w:themeColor="text1"/>
              </w:rPr>
            </w:pPr>
            <w:r>
              <w:rPr>
                <w:rFonts w:hint="eastAsia"/>
                <w:color w:val="000000" w:themeColor="text1"/>
              </w:rPr>
              <w:t>风险源</w:t>
            </w:r>
          </w:p>
        </w:tc>
        <w:tc>
          <w:tcPr>
            <w:tcW w:w="1031" w:type="dxa"/>
            <w:vMerge w:val="restart"/>
            <w:tcBorders>
              <w:top w:val="single" w:color="auto" w:sz="8" w:space="0"/>
            </w:tcBorders>
            <w:shd w:val="clear" w:color="auto" w:fill="auto"/>
            <w:vAlign w:val="center"/>
          </w:tcPr>
          <w:p w14:paraId="4647096E">
            <w:pPr>
              <w:jc w:val="center"/>
              <w:rPr>
                <w:rFonts w:ascii="宋体" w:hAnsi="宋体" w:cs="宋体"/>
                <w:color w:val="000000" w:themeColor="text1"/>
                <w:sz w:val="18"/>
                <w:szCs w:val="18"/>
              </w:rPr>
            </w:pPr>
            <w:r>
              <w:rPr>
                <w:rFonts w:hint="eastAsia" w:ascii="宋体" w:hAnsi="宋体" w:cs="宋体"/>
                <w:color w:val="000000" w:themeColor="text1"/>
                <w:sz w:val="18"/>
                <w:szCs w:val="18"/>
              </w:rPr>
              <w:t>不符合标准情况</w:t>
            </w:r>
          </w:p>
        </w:tc>
        <w:tc>
          <w:tcPr>
            <w:tcW w:w="1600" w:type="dxa"/>
            <w:vMerge w:val="restart"/>
            <w:tcBorders>
              <w:top w:val="single" w:color="auto" w:sz="8" w:space="0"/>
            </w:tcBorders>
            <w:vAlign w:val="center"/>
          </w:tcPr>
          <w:p w14:paraId="097BFAEA">
            <w:pPr>
              <w:jc w:val="center"/>
              <w:rPr>
                <w:rFonts w:ascii="宋体" w:hAnsi="宋体" w:cs="宋体"/>
                <w:color w:val="000000" w:themeColor="text1"/>
                <w:sz w:val="18"/>
                <w:szCs w:val="18"/>
              </w:rPr>
            </w:pPr>
            <w:r>
              <w:rPr>
                <w:rFonts w:hint="eastAsia" w:ascii="宋体" w:hAnsi="宋体" w:cs="宋体"/>
                <w:color w:val="000000" w:themeColor="text1"/>
                <w:sz w:val="18"/>
                <w:szCs w:val="18"/>
              </w:rPr>
              <w:t>可能导致的事故特征及后果</w:t>
            </w:r>
          </w:p>
        </w:tc>
        <w:tc>
          <w:tcPr>
            <w:tcW w:w="894" w:type="dxa"/>
            <w:vMerge w:val="restart"/>
            <w:tcBorders>
              <w:top w:val="single" w:color="auto" w:sz="8" w:space="0"/>
            </w:tcBorders>
            <w:vAlign w:val="center"/>
          </w:tcPr>
          <w:p w14:paraId="74DFC699">
            <w:pPr>
              <w:jc w:val="center"/>
              <w:rPr>
                <w:rFonts w:ascii="宋体" w:hAnsi="宋体" w:cs="宋体"/>
                <w:color w:val="000000" w:themeColor="text1"/>
                <w:sz w:val="18"/>
                <w:szCs w:val="18"/>
              </w:rPr>
            </w:pPr>
            <w:r>
              <w:rPr>
                <w:rFonts w:hint="eastAsia" w:ascii="宋体" w:hAnsi="宋体" w:cs="宋体"/>
                <w:color w:val="000000" w:themeColor="text1"/>
                <w:sz w:val="18"/>
                <w:szCs w:val="18"/>
              </w:rPr>
              <w:t>风险位置</w:t>
            </w:r>
          </w:p>
        </w:tc>
        <w:tc>
          <w:tcPr>
            <w:tcW w:w="895" w:type="dxa"/>
            <w:vMerge w:val="restart"/>
            <w:tcBorders>
              <w:top w:val="single" w:color="auto" w:sz="8" w:space="0"/>
            </w:tcBorders>
            <w:shd w:val="clear" w:color="auto" w:fill="auto"/>
            <w:vAlign w:val="center"/>
          </w:tcPr>
          <w:p w14:paraId="6D41E477">
            <w:pPr>
              <w:jc w:val="center"/>
              <w:rPr>
                <w:rFonts w:ascii="宋体" w:hAnsi="宋体" w:cs="宋体"/>
                <w:color w:val="000000" w:themeColor="text1"/>
                <w:sz w:val="18"/>
                <w:szCs w:val="18"/>
              </w:rPr>
            </w:pPr>
            <w:r>
              <w:rPr>
                <w:rFonts w:hint="eastAsia" w:ascii="宋体" w:hAnsi="宋体" w:cs="宋体"/>
                <w:color w:val="000000" w:themeColor="text1"/>
                <w:sz w:val="18"/>
                <w:szCs w:val="18"/>
              </w:rPr>
              <w:t>风险级别</w:t>
            </w:r>
          </w:p>
        </w:tc>
        <w:tc>
          <w:tcPr>
            <w:tcW w:w="895" w:type="dxa"/>
            <w:vMerge w:val="restart"/>
            <w:tcBorders>
              <w:top w:val="single" w:color="auto" w:sz="8" w:space="0"/>
            </w:tcBorders>
            <w:shd w:val="clear" w:color="auto" w:fill="auto"/>
            <w:vAlign w:val="center"/>
          </w:tcPr>
          <w:p w14:paraId="67B051DE">
            <w:pPr>
              <w:jc w:val="center"/>
              <w:rPr>
                <w:rFonts w:ascii="宋体" w:hAnsi="宋体" w:cs="宋体"/>
                <w:color w:val="000000" w:themeColor="text1"/>
                <w:sz w:val="18"/>
                <w:szCs w:val="18"/>
              </w:rPr>
            </w:pPr>
            <w:r>
              <w:rPr>
                <w:rFonts w:hint="eastAsia" w:ascii="宋体" w:hAnsi="宋体" w:cs="宋体"/>
                <w:color w:val="000000" w:themeColor="text1"/>
                <w:sz w:val="18"/>
                <w:szCs w:val="18"/>
              </w:rPr>
              <w:t>管控措施</w:t>
            </w:r>
          </w:p>
        </w:tc>
        <w:tc>
          <w:tcPr>
            <w:tcW w:w="895" w:type="dxa"/>
            <w:vMerge w:val="restart"/>
            <w:tcBorders>
              <w:top w:val="single" w:color="auto" w:sz="8" w:space="0"/>
            </w:tcBorders>
            <w:shd w:val="clear" w:color="auto" w:fill="auto"/>
            <w:vAlign w:val="center"/>
          </w:tcPr>
          <w:p w14:paraId="3F9CCCD9">
            <w:pPr>
              <w:jc w:val="center"/>
              <w:rPr>
                <w:rFonts w:ascii="宋体" w:hAnsi="宋体" w:cs="宋体"/>
                <w:color w:val="000000" w:themeColor="text1"/>
                <w:sz w:val="18"/>
                <w:szCs w:val="18"/>
              </w:rPr>
            </w:pPr>
            <w:r>
              <w:rPr>
                <w:rFonts w:hint="eastAsia" w:ascii="宋体" w:hAnsi="宋体" w:cs="宋体"/>
                <w:color w:val="000000" w:themeColor="text1"/>
                <w:sz w:val="18"/>
                <w:szCs w:val="18"/>
              </w:rPr>
              <w:t>管控层级</w:t>
            </w:r>
          </w:p>
        </w:tc>
        <w:tc>
          <w:tcPr>
            <w:tcW w:w="895" w:type="dxa"/>
            <w:vMerge w:val="restart"/>
            <w:tcBorders>
              <w:top w:val="single" w:color="auto" w:sz="8" w:space="0"/>
            </w:tcBorders>
            <w:shd w:val="clear" w:color="auto" w:fill="auto"/>
            <w:vAlign w:val="center"/>
          </w:tcPr>
          <w:p w14:paraId="07BF0760">
            <w:pPr>
              <w:jc w:val="center"/>
              <w:rPr>
                <w:rFonts w:ascii="宋体" w:hAnsi="宋体" w:cs="宋体"/>
                <w:color w:val="000000" w:themeColor="text1"/>
                <w:sz w:val="18"/>
                <w:szCs w:val="18"/>
              </w:rPr>
            </w:pPr>
            <w:r>
              <w:rPr>
                <w:rFonts w:hint="eastAsia" w:ascii="宋体" w:hAnsi="宋体" w:cs="宋体"/>
                <w:color w:val="000000" w:themeColor="text1"/>
                <w:sz w:val="18"/>
                <w:szCs w:val="18"/>
              </w:rPr>
              <w:t>责任部门</w:t>
            </w:r>
          </w:p>
        </w:tc>
        <w:tc>
          <w:tcPr>
            <w:tcW w:w="652" w:type="dxa"/>
            <w:vMerge w:val="restart"/>
            <w:tcBorders>
              <w:top w:val="single" w:color="auto" w:sz="8" w:space="0"/>
            </w:tcBorders>
            <w:shd w:val="clear" w:color="auto" w:fill="auto"/>
            <w:vAlign w:val="center"/>
          </w:tcPr>
          <w:p w14:paraId="60C58B28">
            <w:pPr>
              <w:jc w:val="center"/>
              <w:rPr>
                <w:rFonts w:ascii="宋体" w:hAnsi="宋体" w:cs="宋体"/>
                <w:color w:val="000000" w:themeColor="text1"/>
                <w:sz w:val="18"/>
                <w:szCs w:val="18"/>
              </w:rPr>
            </w:pPr>
            <w:r>
              <w:rPr>
                <w:rFonts w:hint="eastAsia" w:ascii="宋体" w:hAnsi="宋体" w:cs="宋体"/>
                <w:color w:val="000000" w:themeColor="text1"/>
                <w:sz w:val="18"/>
                <w:szCs w:val="18"/>
              </w:rPr>
              <w:t>责任人</w:t>
            </w:r>
          </w:p>
        </w:tc>
        <w:tc>
          <w:tcPr>
            <w:tcW w:w="666" w:type="dxa"/>
            <w:vMerge w:val="restart"/>
            <w:tcBorders>
              <w:top w:val="single" w:color="auto" w:sz="8" w:space="0"/>
            </w:tcBorders>
            <w:shd w:val="clear" w:color="auto" w:fill="auto"/>
            <w:vAlign w:val="center"/>
          </w:tcPr>
          <w:p w14:paraId="5B18E814">
            <w:pPr>
              <w:jc w:val="center"/>
              <w:rPr>
                <w:rFonts w:ascii="宋体" w:hAnsi="宋体" w:cs="宋体"/>
                <w:color w:val="000000" w:themeColor="text1"/>
                <w:sz w:val="18"/>
                <w:szCs w:val="18"/>
              </w:rPr>
            </w:pPr>
            <w:r>
              <w:rPr>
                <w:rFonts w:hint="eastAsia" w:ascii="宋体" w:hAnsi="宋体" w:cs="宋体"/>
                <w:color w:val="000000" w:themeColor="text1"/>
                <w:sz w:val="18"/>
                <w:szCs w:val="18"/>
              </w:rPr>
              <w:t>备注</w:t>
            </w:r>
          </w:p>
        </w:tc>
      </w:tr>
      <w:tr w14:paraId="0D934C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tblHeader/>
          <w:jc w:val="center"/>
        </w:trPr>
        <w:tc>
          <w:tcPr>
            <w:tcW w:w="791" w:type="dxa"/>
            <w:tcBorders>
              <w:top w:val="single" w:color="auto" w:sz="8" w:space="0"/>
              <w:bottom w:val="single" w:color="auto" w:sz="8" w:space="0"/>
            </w:tcBorders>
            <w:shd w:val="clear" w:color="auto" w:fill="auto"/>
            <w:vAlign w:val="center"/>
          </w:tcPr>
          <w:p w14:paraId="67FD13D6">
            <w:pPr>
              <w:jc w:val="center"/>
              <w:rPr>
                <w:rFonts w:ascii="宋体" w:hAnsi="宋体" w:cs="宋体"/>
                <w:color w:val="000000" w:themeColor="text1"/>
                <w:sz w:val="18"/>
                <w:szCs w:val="18"/>
              </w:rPr>
            </w:pPr>
            <w:r>
              <w:rPr>
                <w:rFonts w:hint="eastAsia" w:ascii="宋体" w:hAnsi="宋体" w:cs="宋体"/>
                <w:color w:val="000000" w:themeColor="text1"/>
                <w:sz w:val="18"/>
                <w:szCs w:val="18"/>
              </w:rPr>
              <w:t>序号</w:t>
            </w:r>
          </w:p>
        </w:tc>
        <w:tc>
          <w:tcPr>
            <w:tcW w:w="1154" w:type="dxa"/>
            <w:tcBorders>
              <w:top w:val="single" w:color="auto" w:sz="8" w:space="0"/>
              <w:bottom w:val="single" w:color="auto" w:sz="8" w:space="0"/>
            </w:tcBorders>
            <w:shd w:val="clear" w:color="auto" w:fill="auto"/>
            <w:vAlign w:val="center"/>
          </w:tcPr>
          <w:p w14:paraId="52209265">
            <w:pPr>
              <w:jc w:val="center"/>
              <w:rPr>
                <w:rFonts w:ascii="宋体" w:hAnsi="宋体" w:cs="宋体"/>
                <w:color w:val="000000" w:themeColor="text1"/>
                <w:sz w:val="18"/>
                <w:szCs w:val="18"/>
              </w:rPr>
            </w:pPr>
            <w:r>
              <w:rPr>
                <w:rFonts w:hint="eastAsia" w:ascii="宋体" w:hAnsi="宋体" w:cs="宋体"/>
                <w:color w:val="000000" w:themeColor="text1"/>
                <w:sz w:val="18"/>
                <w:szCs w:val="18"/>
              </w:rPr>
              <w:t>名称</w:t>
            </w:r>
          </w:p>
        </w:tc>
        <w:tc>
          <w:tcPr>
            <w:tcW w:w="1031" w:type="dxa"/>
            <w:vMerge w:val="continue"/>
            <w:tcBorders>
              <w:bottom w:val="single" w:color="auto" w:sz="8" w:space="0"/>
            </w:tcBorders>
            <w:shd w:val="clear" w:color="auto" w:fill="auto"/>
            <w:vAlign w:val="center"/>
          </w:tcPr>
          <w:p w14:paraId="1A37C4C8">
            <w:pPr>
              <w:pStyle w:val="180"/>
              <w:rPr>
                <w:rFonts w:hAnsi="宋体" w:cs="宋体"/>
                <w:color w:val="000000" w:themeColor="text1"/>
                <w:szCs w:val="18"/>
              </w:rPr>
            </w:pPr>
          </w:p>
        </w:tc>
        <w:tc>
          <w:tcPr>
            <w:tcW w:w="1600" w:type="dxa"/>
            <w:vMerge w:val="continue"/>
            <w:tcBorders>
              <w:bottom w:val="single" w:color="auto" w:sz="8" w:space="0"/>
            </w:tcBorders>
          </w:tcPr>
          <w:p w14:paraId="44EEF954">
            <w:pPr>
              <w:jc w:val="center"/>
              <w:rPr>
                <w:rFonts w:ascii="宋体" w:hAnsi="宋体" w:cs="宋体"/>
                <w:color w:val="000000" w:themeColor="text1"/>
                <w:sz w:val="18"/>
                <w:szCs w:val="18"/>
              </w:rPr>
            </w:pPr>
          </w:p>
        </w:tc>
        <w:tc>
          <w:tcPr>
            <w:tcW w:w="894" w:type="dxa"/>
            <w:vMerge w:val="continue"/>
            <w:tcBorders>
              <w:bottom w:val="single" w:color="auto" w:sz="8" w:space="0"/>
            </w:tcBorders>
          </w:tcPr>
          <w:p w14:paraId="2FEC2A74">
            <w:pPr>
              <w:jc w:val="center"/>
              <w:rPr>
                <w:rFonts w:ascii="宋体" w:hAnsi="宋体" w:cs="宋体"/>
                <w:color w:val="000000" w:themeColor="text1"/>
                <w:sz w:val="18"/>
                <w:szCs w:val="18"/>
              </w:rPr>
            </w:pPr>
          </w:p>
        </w:tc>
        <w:tc>
          <w:tcPr>
            <w:tcW w:w="895" w:type="dxa"/>
            <w:vMerge w:val="continue"/>
            <w:tcBorders>
              <w:bottom w:val="single" w:color="auto" w:sz="8" w:space="0"/>
            </w:tcBorders>
            <w:shd w:val="clear" w:color="auto" w:fill="auto"/>
            <w:vAlign w:val="center"/>
          </w:tcPr>
          <w:p w14:paraId="1B4785C2">
            <w:pPr>
              <w:jc w:val="center"/>
              <w:rPr>
                <w:rFonts w:ascii="宋体" w:hAnsi="宋体" w:cs="宋体"/>
                <w:color w:val="000000" w:themeColor="text1"/>
                <w:sz w:val="18"/>
                <w:szCs w:val="18"/>
              </w:rPr>
            </w:pPr>
          </w:p>
        </w:tc>
        <w:tc>
          <w:tcPr>
            <w:tcW w:w="895" w:type="dxa"/>
            <w:vMerge w:val="continue"/>
            <w:tcBorders>
              <w:bottom w:val="single" w:color="auto" w:sz="8" w:space="0"/>
            </w:tcBorders>
            <w:shd w:val="clear" w:color="auto" w:fill="auto"/>
            <w:vAlign w:val="center"/>
          </w:tcPr>
          <w:p w14:paraId="6FBC053E">
            <w:pPr>
              <w:jc w:val="center"/>
              <w:rPr>
                <w:rFonts w:ascii="宋体" w:hAnsi="宋体" w:cs="宋体"/>
                <w:color w:val="000000" w:themeColor="text1"/>
                <w:sz w:val="18"/>
                <w:szCs w:val="18"/>
              </w:rPr>
            </w:pPr>
          </w:p>
        </w:tc>
        <w:tc>
          <w:tcPr>
            <w:tcW w:w="895" w:type="dxa"/>
            <w:vMerge w:val="continue"/>
            <w:tcBorders>
              <w:bottom w:val="single" w:color="auto" w:sz="8" w:space="0"/>
            </w:tcBorders>
            <w:shd w:val="clear" w:color="auto" w:fill="auto"/>
            <w:vAlign w:val="center"/>
          </w:tcPr>
          <w:p w14:paraId="55A2FE2B">
            <w:pPr>
              <w:jc w:val="center"/>
              <w:rPr>
                <w:rFonts w:ascii="宋体" w:hAnsi="宋体" w:cs="宋体"/>
                <w:color w:val="000000" w:themeColor="text1"/>
                <w:sz w:val="18"/>
                <w:szCs w:val="18"/>
              </w:rPr>
            </w:pPr>
          </w:p>
        </w:tc>
        <w:tc>
          <w:tcPr>
            <w:tcW w:w="895" w:type="dxa"/>
            <w:vMerge w:val="continue"/>
            <w:tcBorders>
              <w:bottom w:val="single" w:color="auto" w:sz="8" w:space="0"/>
            </w:tcBorders>
            <w:shd w:val="clear" w:color="auto" w:fill="auto"/>
            <w:vAlign w:val="center"/>
          </w:tcPr>
          <w:p w14:paraId="0EB01C25">
            <w:pPr>
              <w:jc w:val="center"/>
              <w:rPr>
                <w:rFonts w:ascii="宋体" w:hAnsi="宋体" w:cs="宋体"/>
                <w:color w:val="000000" w:themeColor="text1"/>
                <w:sz w:val="18"/>
                <w:szCs w:val="18"/>
              </w:rPr>
            </w:pPr>
          </w:p>
        </w:tc>
        <w:tc>
          <w:tcPr>
            <w:tcW w:w="652" w:type="dxa"/>
            <w:vMerge w:val="continue"/>
            <w:tcBorders>
              <w:bottom w:val="single" w:color="auto" w:sz="8" w:space="0"/>
            </w:tcBorders>
            <w:shd w:val="clear" w:color="auto" w:fill="auto"/>
            <w:vAlign w:val="center"/>
          </w:tcPr>
          <w:p w14:paraId="0073628C">
            <w:pPr>
              <w:jc w:val="center"/>
              <w:rPr>
                <w:rFonts w:ascii="宋体" w:hAnsi="宋体" w:cs="宋体"/>
                <w:color w:val="000000" w:themeColor="text1"/>
                <w:sz w:val="18"/>
                <w:szCs w:val="18"/>
              </w:rPr>
            </w:pPr>
          </w:p>
        </w:tc>
        <w:tc>
          <w:tcPr>
            <w:tcW w:w="666" w:type="dxa"/>
            <w:vMerge w:val="continue"/>
            <w:tcBorders>
              <w:bottom w:val="single" w:color="auto" w:sz="8" w:space="0"/>
            </w:tcBorders>
            <w:shd w:val="clear" w:color="auto" w:fill="auto"/>
            <w:vAlign w:val="center"/>
          </w:tcPr>
          <w:p w14:paraId="3F887EEA">
            <w:pPr>
              <w:jc w:val="center"/>
              <w:rPr>
                <w:rFonts w:ascii="宋体" w:hAnsi="宋体" w:cs="宋体"/>
                <w:color w:val="000000" w:themeColor="text1"/>
                <w:sz w:val="18"/>
                <w:szCs w:val="18"/>
              </w:rPr>
            </w:pPr>
          </w:p>
        </w:tc>
      </w:tr>
      <w:tr w14:paraId="3F571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tcBorders>
              <w:top w:val="single" w:color="auto" w:sz="8" w:space="0"/>
            </w:tcBorders>
            <w:shd w:val="clear" w:color="auto" w:fill="auto"/>
            <w:vAlign w:val="center"/>
          </w:tcPr>
          <w:p w14:paraId="00A34A80">
            <w:pPr>
              <w:pStyle w:val="180"/>
              <w:rPr>
                <w:color w:val="000000" w:themeColor="text1"/>
              </w:rPr>
            </w:pPr>
          </w:p>
        </w:tc>
        <w:tc>
          <w:tcPr>
            <w:tcW w:w="1154" w:type="dxa"/>
            <w:tcBorders>
              <w:top w:val="single" w:color="auto" w:sz="8" w:space="0"/>
            </w:tcBorders>
            <w:shd w:val="clear" w:color="auto" w:fill="auto"/>
            <w:vAlign w:val="center"/>
          </w:tcPr>
          <w:p w14:paraId="2569C4DF">
            <w:pPr>
              <w:pStyle w:val="180"/>
              <w:rPr>
                <w:color w:val="000000" w:themeColor="text1"/>
              </w:rPr>
            </w:pPr>
          </w:p>
        </w:tc>
        <w:tc>
          <w:tcPr>
            <w:tcW w:w="1031" w:type="dxa"/>
            <w:tcBorders>
              <w:top w:val="single" w:color="auto" w:sz="8" w:space="0"/>
            </w:tcBorders>
            <w:shd w:val="clear" w:color="auto" w:fill="auto"/>
          </w:tcPr>
          <w:p w14:paraId="2C446ABB">
            <w:pPr>
              <w:rPr>
                <w:rFonts w:ascii="宋体"/>
                <w:color w:val="000000" w:themeColor="text1"/>
                <w:sz w:val="18"/>
              </w:rPr>
            </w:pPr>
          </w:p>
        </w:tc>
        <w:tc>
          <w:tcPr>
            <w:tcW w:w="1600" w:type="dxa"/>
            <w:tcBorders>
              <w:top w:val="single" w:color="auto" w:sz="8" w:space="0"/>
            </w:tcBorders>
          </w:tcPr>
          <w:p w14:paraId="1600D490">
            <w:pPr>
              <w:rPr>
                <w:rFonts w:ascii="宋体"/>
                <w:color w:val="000000" w:themeColor="text1"/>
                <w:sz w:val="18"/>
              </w:rPr>
            </w:pPr>
          </w:p>
        </w:tc>
        <w:tc>
          <w:tcPr>
            <w:tcW w:w="894" w:type="dxa"/>
            <w:tcBorders>
              <w:top w:val="single" w:color="auto" w:sz="8" w:space="0"/>
            </w:tcBorders>
          </w:tcPr>
          <w:p w14:paraId="346561FD">
            <w:pPr>
              <w:rPr>
                <w:rFonts w:ascii="宋体"/>
                <w:color w:val="000000" w:themeColor="text1"/>
                <w:sz w:val="18"/>
              </w:rPr>
            </w:pPr>
          </w:p>
        </w:tc>
        <w:tc>
          <w:tcPr>
            <w:tcW w:w="895" w:type="dxa"/>
            <w:tcBorders>
              <w:top w:val="single" w:color="auto" w:sz="8" w:space="0"/>
            </w:tcBorders>
            <w:shd w:val="clear" w:color="auto" w:fill="auto"/>
          </w:tcPr>
          <w:p w14:paraId="47D78442">
            <w:pPr>
              <w:rPr>
                <w:rFonts w:ascii="宋体"/>
                <w:color w:val="000000" w:themeColor="text1"/>
                <w:sz w:val="18"/>
              </w:rPr>
            </w:pPr>
          </w:p>
        </w:tc>
        <w:tc>
          <w:tcPr>
            <w:tcW w:w="895" w:type="dxa"/>
            <w:tcBorders>
              <w:top w:val="single" w:color="auto" w:sz="8" w:space="0"/>
            </w:tcBorders>
            <w:shd w:val="clear" w:color="auto" w:fill="auto"/>
          </w:tcPr>
          <w:p w14:paraId="7BA69F74">
            <w:pPr>
              <w:rPr>
                <w:rFonts w:ascii="宋体"/>
                <w:color w:val="000000" w:themeColor="text1"/>
                <w:sz w:val="18"/>
              </w:rPr>
            </w:pPr>
          </w:p>
        </w:tc>
        <w:tc>
          <w:tcPr>
            <w:tcW w:w="895" w:type="dxa"/>
            <w:tcBorders>
              <w:top w:val="single" w:color="auto" w:sz="8" w:space="0"/>
            </w:tcBorders>
            <w:shd w:val="clear" w:color="auto" w:fill="auto"/>
          </w:tcPr>
          <w:p w14:paraId="2EEFCC99">
            <w:pPr>
              <w:rPr>
                <w:rFonts w:ascii="宋体"/>
                <w:color w:val="000000" w:themeColor="text1"/>
                <w:sz w:val="18"/>
              </w:rPr>
            </w:pPr>
          </w:p>
        </w:tc>
        <w:tc>
          <w:tcPr>
            <w:tcW w:w="895" w:type="dxa"/>
            <w:tcBorders>
              <w:top w:val="single" w:color="auto" w:sz="8" w:space="0"/>
            </w:tcBorders>
            <w:shd w:val="clear" w:color="auto" w:fill="auto"/>
          </w:tcPr>
          <w:p w14:paraId="77599E00">
            <w:pPr>
              <w:rPr>
                <w:rFonts w:ascii="宋体"/>
                <w:color w:val="000000" w:themeColor="text1"/>
                <w:sz w:val="18"/>
              </w:rPr>
            </w:pPr>
          </w:p>
        </w:tc>
        <w:tc>
          <w:tcPr>
            <w:tcW w:w="652" w:type="dxa"/>
            <w:tcBorders>
              <w:top w:val="single" w:color="auto" w:sz="8" w:space="0"/>
            </w:tcBorders>
            <w:shd w:val="clear" w:color="auto" w:fill="auto"/>
          </w:tcPr>
          <w:p w14:paraId="74986AB2">
            <w:pPr>
              <w:rPr>
                <w:rFonts w:ascii="宋体"/>
                <w:color w:val="000000" w:themeColor="text1"/>
                <w:sz w:val="18"/>
              </w:rPr>
            </w:pPr>
          </w:p>
        </w:tc>
        <w:tc>
          <w:tcPr>
            <w:tcW w:w="666" w:type="dxa"/>
            <w:tcBorders>
              <w:top w:val="single" w:color="auto" w:sz="8" w:space="0"/>
            </w:tcBorders>
            <w:shd w:val="clear" w:color="auto" w:fill="auto"/>
          </w:tcPr>
          <w:p w14:paraId="0C873550">
            <w:pPr>
              <w:rPr>
                <w:rFonts w:ascii="宋体"/>
                <w:color w:val="000000" w:themeColor="text1"/>
                <w:sz w:val="18"/>
              </w:rPr>
            </w:pPr>
          </w:p>
        </w:tc>
      </w:tr>
      <w:tr w14:paraId="1A492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73BDFB4B">
            <w:pPr>
              <w:pStyle w:val="180"/>
              <w:rPr>
                <w:color w:val="000000" w:themeColor="text1"/>
              </w:rPr>
            </w:pPr>
          </w:p>
        </w:tc>
        <w:tc>
          <w:tcPr>
            <w:tcW w:w="1154" w:type="dxa"/>
            <w:shd w:val="clear" w:color="auto" w:fill="auto"/>
            <w:vAlign w:val="center"/>
          </w:tcPr>
          <w:p w14:paraId="065E4597">
            <w:pPr>
              <w:pStyle w:val="180"/>
              <w:rPr>
                <w:color w:val="000000" w:themeColor="text1"/>
              </w:rPr>
            </w:pPr>
          </w:p>
        </w:tc>
        <w:tc>
          <w:tcPr>
            <w:tcW w:w="1031" w:type="dxa"/>
            <w:shd w:val="clear" w:color="auto" w:fill="auto"/>
            <w:vAlign w:val="center"/>
          </w:tcPr>
          <w:p w14:paraId="1082C207">
            <w:pPr>
              <w:pStyle w:val="180"/>
              <w:rPr>
                <w:color w:val="000000" w:themeColor="text1"/>
              </w:rPr>
            </w:pPr>
          </w:p>
        </w:tc>
        <w:tc>
          <w:tcPr>
            <w:tcW w:w="1600" w:type="dxa"/>
          </w:tcPr>
          <w:p w14:paraId="744DC116">
            <w:pPr>
              <w:pStyle w:val="180"/>
              <w:rPr>
                <w:color w:val="000000" w:themeColor="text1"/>
              </w:rPr>
            </w:pPr>
          </w:p>
        </w:tc>
        <w:tc>
          <w:tcPr>
            <w:tcW w:w="894" w:type="dxa"/>
          </w:tcPr>
          <w:p w14:paraId="51EC62A2">
            <w:pPr>
              <w:pStyle w:val="180"/>
              <w:rPr>
                <w:color w:val="000000" w:themeColor="text1"/>
              </w:rPr>
            </w:pPr>
          </w:p>
        </w:tc>
        <w:tc>
          <w:tcPr>
            <w:tcW w:w="895" w:type="dxa"/>
            <w:shd w:val="clear" w:color="auto" w:fill="auto"/>
            <w:vAlign w:val="center"/>
          </w:tcPr>
          <w:p w14:paraId="45732C1C">
            <w:pPr>
              <w:pStyle w:val="180"/>
              <w:rPr>
                <w:color w:val="000000" w:themeColor="text1"/>
              </w:rPr>
            </w:pPr>
          </w:p>
        </w:tc>
        <w:tc>
          <w:tcPr>
            <w:tcW w:w="895" w:type="dxa"/>
            <w:shd w:val="clear" w:color="auto" w:fill="auto"/>
            <w:vAlign w:val="center"/>
          </w:tcPr>
          <w:p w14:paraId="627A1D66">
            <w:pPr>
              <w:pStyle w:val="180"/>
              <w:rPr>
                <w:color w:val="000000" w:themeColor="text1"/>
              </w:rPr>
            </w:pPr>
          </w:p>
        </w:tc>
        <w:tc>
          <w:tcPr>
            <w:tcW w:w="895" w:type="dxa"/>
            <w:shd w:val="clear" w:color="auto" w:fill="auto"/>
            <w:vAlign w:val="center"/>
          </w:tcPr>
          <w:p w14:paraId="0B365C94">
            <w:pPr>
              <w:pStyle w:val="180"/>
              <w:rPr>
                <w:color w:val="000000" w:themeColor="text1"/>
              </w:rPr>
            </w:pPr>
          </w:p>
        </w:tc>
        <w:tc>
          <w:tcPr>
            <w:tcW w:w="895" w:type="dxa"/>
            <w:shd w:val="clear" w:color="auto" w:fill="auto"/>
            <w:vAlign w:val="center"/>
          </w:tcPr>
          <w:p w14:paraId="429A433A">
            <w:pPr>
              <w:pStyle w:val="180"/>
              <w:rPr>
                <w:color w:val="000000" w:themeColor="text1"/>
              </w:rPr>
            </w:pPr>
          </w:p>
        </w:tc>
        <w:tc>
          <w:tcPr>
            <w:tcW w:w="652" w:type="dxa"/>
            <w:shd w:val="clear" w:color="auto" w:fill="auto"/>
            <w:vAlign w:val="center"/>
          </w:tcPr>
          <w:p w14:paraId="7912068B">
            <w:pPr>
              <w:pStyle w:val="180"/>
              <w:rPr>
                <w:color w:val="000000" w:themeColor="text1"/>
              </w:rPr>
            </w:pPr>
          </w:p>
        </w:tc>
        <w:tc>
          <w:tcPr>
            <w:tcW w:w="666" w:type="dxa"/>
            <w:shd w:val="clear" w:color="auto" w:fill="auto"/>
            <w:vAlign w:val="center"/>
          </w:tcPr>
          <w:p w14:paraId="4EFDB372">
            <w:pPr>
              <w:pStyle w:val="180"/>
              <w:rPr>
                <w:color w:val="000000" w:themeColor="text1"/>
              </w:rPr>
            </w:pPr>
          </w:p>
        </w:tc>
      </w:tr>
      <w:tr w14:paraId="2F148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6DC8F411">
            <w:pPr>
              <w:pStyle w:val="180"/>
              <w:rPr>
                <w:color w:val="000000" w:themeColor="text1"/>
              </w:rPr>
            </w:pPr>
          </w:p>
        </w:tc>
        <w:tc>
          <w:tcPr>
            <w:tcW w:w="1154" w:type="dxa"/>
            <w:shd w:val="clear" w:color="auto" w:fill="auto"/>
            <w:vAlign w:val="center"/>
          </w:tcPr>
          <w:p w14:paraId="1ADED777">
            <w:pPr>
              <w:pStyle w:val="180"/>
              <w:rPr>
                <w:color w:val="000000" w:themeColor="text1"/>
              </w:rPr>
            </w:pPr>
          </w:p>
        </w:tc>
        <w:tc>
          <w:tcPr>
            <w:tcW w:w="1031" w:type="dxa"/>
            <w:shd w:val="clear" w:color="auto" w:fill="auto"/>
            <w:vAlign w:val="center"/>
          </w:tcPr>
          <w:p w14:paraId="03BA43AF">
            <w:pPr>
              <w:pStyle w:val="180"/>
              <w:rPr>
                <w:color w:val="000000" w:themeColor="text1"/>
              </w:rPr>
            </w:pPr>
          </w:p>
        </w:tc>
        <w:tc>
          <w:tcPr>
            <w:tcW w:w="1600" w:type="dxa"/>
          </w:tcPr>
          <w:p w14:paraId="5DBC338F">
            <w:pPr>
              <w:pStyle w:val="180"/>
              <w:rPr>
                <w:color w:val="000000" w:themeColor="text1"/>
              </w:rPr>
            </w:pPr>
          </w:p>
        </w:tc>
        <w:tc>
          <w:tcPr>
            <w:tcW w:w="894" w:type="dxa"/>
          </w:tcPr>
          <w:p w14:paraId="5AA0295E">
            <w:pPr>
              <w:pStyle w:val="180"/>
              <w:rPr>
                <w:color w:val="000000" w:themeColor="text1"/>
              </w:rPr>
            </w:pPr>
          </w:p>
        </w:tc>
        <w:tc>
          <w:tcPr>
            <w:tcW w:w="895" w:type="dxa"/>
            <w:shd w:val="clear" w:color="auto" w:fill="auto"/>
            <w:vAlign w:val="center"/>
          </w:tcPr>
          <w:p w14:paraId="18ECB97D">
            <w:pPr>
              <w:pStyle w:val="180"/>
              <w:rPr>
                <w:color w:val="000000" w:themeColor="text1"/>
              </w:rPr>
            </w:pPr>
          </w:p>
        </w:tc>
        <w:tc>
          <w:tcPr>
            <w:tcW w:w="895" w:type="dxa"/>
            <w:shd w:val="clear" w:color="auto" w:fill="auto"/>
            <w:vAlign w:val="center"/>
          </w:tcPr>
          <w:p w14:paraId="0761325F">
            <w:pPr>
              <w:pStyle w:val="180"/>
              <w:rPr>
                <w:color w:val="000000" w:themeColor="text1"/>
              </w:rPr>
            </w:pPr>
          </w:p>
        </w:tc>
        <w:tc>
          <w:tcPr>
            <w:tcW w:w="895" w:type="dxa"/>
            <w:shd w:val="clear" w:color="auto" w:fill="auto"/>
            <w:vAlign w:val="center"/>
          </w:tcPr>
          <w:p w14:paraId="6B02DE7C">
            <w:pPr>
              <w:pStyle w:val="180"/>
              <w:rPr>
                <w:color w:val="000000" w:themeColor="text1"/>
              </w:rPr>
            </w:pPr>
          </w:p>
        </w:tc>
        <w:tc>
          <w:tcPr>
            <w:tcW w:w="895" w:type="dxa"/>
            <w:shd w:val="clear" w:color="auto" w:fill="auto"/>
            <w:vAlign w:val="center"/>
          </w:tcPr>
          <w:p w14:paraId="6484F74E">
            <w:pPr>
              <w:pStyle w:val="180"/>
              <w:rPr>
                <w:color w:val="000000" w:themeColor="text1"/>
              </w:rPr>
            </w:pPr>
          </w:p>
        </w:tc>
        <w:tc>
          <w:tcPr>
            <w:tcW w:w="652" w:type="dxa"/>
            <w:shd w:val="clear" w:color="auto" w:fill="auto"/>
            <w:vAlign w:val="center"/>
          </w:tcPr>
          <w:p w14:paraId="6A2F04E5">
            <w:pPr>
              <w:pStyle w:val="180"/>
              <w:rPr>
                <w:color w:val="000000" w:themeColor="text1"/>
              </w:rPr>
            </w:pPr>
          </w:p>
        </w:tc>
        <w:tc>
          <w:tcPr>
            <w:tcW w:w="666" w:type="dxa"/>
            <w:shd w:val="clear" w:color="auto" w:fill="auto"/>
            <w:vAlign w:val="center"/>
          </w:tcPr>
          <w:p w14:paraId="425979CD">
            <w:pPr>
              <w:pStyle w:val="180"/>
              <w:rPr>
                <w:color w:val="000000" w:themeColor="text1"/>
              </w:rPr>
            </w:pPr>
          </w:p>
        </w:tc>
      </w:tr>
      <w:tr w14:paraId="35017B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6386630F">
            <w:pPr>
              <w:pStyle w:val="180"/>
              <w:rPr>
                <w:color w:val="000000" w:themeColor="text1"/>
              </w:rPr>
            </w:pPr>
          </w:p>
        </w:tc>
        <w:tc>
          <w:tcPr>
            <w:tcW w:w="1154" w:type="dxa"/>
            <w:shd w:val="clear" w:color="auto" w:fill="auto"/>
            <w:vAlign w:val="center"/>
          </w:tcPr>
          <w:p w14:paraId="1547BFD5">
            <w:pPr>
              <w:pStyle w:val="180"/>
              <w:rPr>
                <w:color w:val="000000" w:themeColor="text1"/>
              </w:rPr>
            </w:pPr>
          </w:p>
        </w:tc>
        <w:tc>
          <w:tcPr>
            <w:tcW w:w="1031" w:type="dxa"/>
            <w:shd w:val="clear" w:color="auto" w:fill="auto"/>
            <w:vAlign w:val="center"/>
          </w:tcPr>
          <w:p w14:paraId="139E24AA">
            <w:pPr>
              <w:pStyle w:val="180"/>
              <w:rPr>
                <w:color w:val="000000" w:themeColor="text1"/>
              </w:rPr>
            </w:pPr>
          </w:p>
        </w:tc>
        <w:tc>
          <w:tcPr>
            <w:tcW w:w="1600" w:type="dxa"/>
          </w:tcPr>
          <w:p w14:paraId="38746A5B">
            <w:pPr>
              <w:pStyle w:val="180"/>
              <w:rPr>
                <w:color w:val="000000" w:themeColor="text1"/>
              </w:rPr>
            </w:pPr>
          </w:p>
        </w:tc>
        <w:tc>
          <w:tcPr>
            <w:tcW w:w="894" w:type="dxa"/>
          </w:tcPr>
          <w:p w14:paraId="0D5F8808">
            <w:pPr>
              <w:pStyle w:val="180"/>
              <w:rPr>
                <w:color w:val="000000" w:themeColor="text1"/>
              </w:rPr>
            </w:pPr>
          </w:p>
        </w:tc>
        <w:tc>
          <w:tcPr>
            <w:tcW w:w="895" w:type="dxa"/>
            <w:shd w:val="clear" w:color="auto" w:fill="auto"/>
            <w:vAlign w:val="center"/>
          </w:tcPr>
          <w:p w14:paraId="3AEAAA39">
            <w:pPr>
              <w:pStyle w:val="180"/>
              <w:rPr>
                <w:color w:val="000000" w:themeColor="text1"/>
              </w:rPr>
            </w:pPr>
          </w:p>
        </w:tc>
        <w:tc>
          <w:tcPr>
            <w:tcW w:w="895" w:type="dxa"/>
            <w:shd w:val="clear" w:color="auto" w:fill="auto"/>
            <w:vAlign w:val="center"/>
          </w:tcPr>
          <w:p w14:paraId="516645C6">
            <w:pPr>
              <w:pStyle w:val="180"/>
              <w:rPr>
                <w:color w:val="000000" w:themeColor="text1"/>
              </w:rPr>
            </w:pPr>
          </w:p>
        </w:tc>
        <w:tc>
          <w:tcPr>
            <w:tcW w:w="895" w:type="dxa"/>
            <w:shd w:val="clear" w:color="auto" w:fill="auto"/>
            <w:vAlign w:val="center"/>
          </w:tcPr>
          <w:p w14:paraId="6EA4C400">
            <w:pPr>
              <w:pStyle w:val="180"/>
              <w:rPr>
                <w:color w:val="000000" w:themeColor="text1"/>
              </w:rPr>
            </w:pPr>
          </w:p>
        </w:tc>
        <w:tc>
          <w:tcPr>
            <w:tcW w:w="895" w:type="dxa"/>
            <w:shd w:val="clear" w:color="auto" w:fill="auto"/>
            <w:vAlign w:val="center"/>
          </w:tcPr>
          <w:p w14:paraId="5FEDE7F6">
            <w:pPr>
              <w:pStyle w:val="180"/>
              <w:rPr>
                <w:color w:val="000000" w:themeColor="text1"/>
              </w:rPr>
            </w:pPr>
          </w:p>
        </w:tc>
        <w:tc>
          <w:tcPr>
            <w:tcW w:w="652" w:type="dxa"/>
            <w:shd w:val="clear" w:color="auto" w:fill="auto"/>
            <w:vAlign w:val="center"/>
          </w:tcPr>
          <w:p w14:paraId="16B987E8">
            <w:pPr>
              <w:pStyle w:val="180"/>
              <w:rPr>
                <w:color w:val="000000" w:themeColor="text1"/>
              </w:rPr>
            </w:pPr>
          </w:p>
        </w:tc>
        <w:tc>
          <w:tcPr>
            <w:tcW w:w="666" w:type="dxa"/>
            <w:shd w:val="clear" w:color="auto" w:fill="auto"/>
            <w:vAlign w:val="center"/>
          </w:tcPr>
          <w:p w14:paraId="605D2CBD">
            <w:pPr>
              <w:pStyle w:val="180"/>
              <w:rPr>
                <w:color w:val="000000" w:themeColor="text1"/>
              </w:rPr>
            </w:pPr>
          </w:p>
        </w:tc>
      </w:tr>
      <w:tr w14:paraId="7B26A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02632AB2">
            <w:pPr>
              <w:pStyle w:val="180"/>
              <w:rPr>
                <w:color w:val="000000" w:themeColor="text1"/>
              </w:rPr>
            </w:pPr>
          </w:p>
        </w:tc>
        <w:tc>
          <w:tcPr>
            <w:tcW w:w="1154" w:type="dxa"/>
            <w:shd w:val="clear" w:color="auto" w:fill="auto"/>
            <w:vAlign w:val="center"/>
          </w:tcPr>
          <w:p w14:paraId="4A4136A9">
            <w:pPr>
              <w:pStyle w:val="180"/>
              <w:rPr>
                <w:color w:val="000000" w:themeColor="text1"/>
              </w:rPr>
            </w:pPr>
          </w:p>
        </w:tc>
        <w:tc>
          <w:tcPr>
            <w:tcW w:w="1031" w:type="dxa"/>
            <w:shd w:val="clear" w:color="auto" w:fill="auto"/>
            <w:vAlign w:val="center"/>
          </w:tcPr>
          <w:p w14:paraId="64D38E5A">
            <w:pPr>
              <w:pStyle w:val="180"/>
              <w:rPr>
                <w:color w:val="000000" w:themeColor="text1"/>
              </w:rPr>
            </w:pPr>
          </w:p>
        </w:tc>
        <w:tc>
          <w:tcPr>
            <w:tcW w:w="1600" w:type="dxa"/>
          </w:tcPr>
          <w:p w14:paraId="15712C04">
            <w:pPr>
              <w:pStyle w:val="180"/>
              <w:rPr>
                <w:color w:val="000000" w:themeColor="text1"/>
              </w:rPr>
            </w:pPr>
          </w:p>
        </w:tc>
        <w:tc>
          <w:tcPr>
            <w:tcW w:w="894" w:type="dxa"/>
          </w:tcPr>
          <w:p w14:paraId="3283963C">
            <w:pPr>
              <w:pStyle w:val="180"/>
              <w:rPr>
                <w:color w:val="000000" w:themeColor="text1"/>
              </w:rPr>
            </w:pPr>
          </w:p>
        </w:tc>
        <w:tc>
          <w:tcPr>
            <w:tcW w:w="895" w:type="dxa"/>
            <w:shd w:val="clear" w:color="auto" w:fill="auto"/>
            <w:vAlign w:val="center"/>
          </w:tcPr>
          <w:p w14:paraId="61D48178">
            <w:pPr>
              <w:pStyle w:val="180"/>
              <w:rPr>
                <w:color w:val="000000" w:themeColor="text1"/>
              </w:rPr>
            </w:pPr>
          </w:p>
        </w:tc>
        <w:tc>
          <w:tcPr>
            <w:tcW w:w="895" w:type="dxa"/>
            <w:shd w:val="clear" w:color="auto" w:fill="auto"/>
            <w:vAlign w:val="center"/>
          </w:tcPr>
          <w:p w14:paraId="68BE8694">
            <w:pPr>
              <w:pStyle w:val="180"/>
              <w:rPr>
                <w:color w:val="000000" w:themeColor="text1"/>
              </w:rPr>
            </w:pPr>
          </w:p>
        </w:tc>
        <w:tc>
          <w:tcPr>
            <w:tcW w:w="895" w:type="dxa"/>
            <w:shd w:val="clear" w:color="auto" w:fill="auto"/>
            <w:vAlign w:val="center"/>
          </w:tcPr>
          <w:p w14:paraId="3C68DA77">
            <w:pPr>
              <w:pStyle w:val="180"/>
              <w:rPr>
                <w:color w:val="000000" w:themeColor="text1"/>
              </w:rPr>
            </w:pPr>
          </w:p>
        </w:tc>
        <w:tc>
          <w:tcPr>
            <w:tcW w:w="895" w:type="dxa"/>
            <w:shd w:val="clear" w:color="auto" w:fill="auto"/>
            <w:vAlign w:val="center"/>
          </w:tcPr>
          <w:p w14:paraId="50DEE1E5">
            <w:pPr>
              <w:pStyle w:val="180"/>
              <w:rPr>
                <w:color w:val="000000" w:themeColor="text1"/>
              </w:rPr>
            </w:pPr>
          </w:p>
        </w:tc>
        <w:tc>
          <w:tcPr>
            <w:tcW w:w="652" w:type="dxa"/>
            <w:shd w:val="clear" w:color="auto" w:fill="auto"/>
            <w:vAlign w:val="center"/>
          </w:tcPr>
          <w:p w14:paraId="2DBD3FDD">
            <w:pPr>
              <w:pStyle w:val="180"/>
              <w:rPr>
                <w:color w:val="000000" w:themeColor="text1"/>
              </w:rPr>
            </w:pPr>
          </w:p>
        </w:tc>
        <w:tc>
          <w:tcPr>
            <w:tcW w:w="666" w:type="dxa"/>
            <w:shd w:val="clear" w:color="auto" w:fill="auto"/>
            <w:vAlign w:val="center"/>
          </w:tcPr>
          <w:p w14:paraId="6DEBC4FD">
            <w:pPr>
              <w:pStyle w:val="180"/>
              <w:rPr>
                <w:color w:val="000000" w:themeColor="text1"/>
              </w:rPr>
            </w:pPr>
          </w:p>
        </w:tc>
      </w:tr>
      <w:tr w14:paraId="62F2A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39398852">
            <w:pPr>
              <w:pStyle w:val="180"/>
              <w:rPr>
                <w:color w:val="000000" w:themeColor="text1"/>
              </w:rPr>
            </w:pPr>
          </w:p>
        </w:tc>
        <w:tc>
          <w:tcPr>
            <w:tcW w:w="1154" w:type="dxa"/>
            <w:shd w:val="clear" w:color="auto" w:fill="auto"/>
            <w:vAlign w:val="center"/>
          </w:tcPr>
          <w:p w14:paraId="29F6DE6B">
            <w:pPr>
              <w:pStyle w:val="180"/>
              <w:rPr>
                <w:color w:val="000000" w:themeColor="text1"/>
              </w:rPr>
            </w:pPr>
          </w:p>
        </w:tc>
        <w:tc>
          <w:tcPr>
            <w:tcW w:w="1031" w:type="dxa"/>
            <w:shd w:val="clear" w:color="auto" w:fill="auto"/>
            <w:vAlign w:val="center"/>
          </w:tcPr>
          <w:p w14:paraId="2DD47357">
            <w:pPr>
              <w:pStyle w:val="180"/>
              <w:rPr>
                <w:color w:val="000000" w:themeColor="text1"/>
              </w:rPr>
            </w:pPr>
          </w:p>
        </w:tc>
        <w:tc>
          <w:tcPr>
            <w:tcW w:w="1600" w:type="dxa"/>
          </w:tcPr>
          <w:p w14:paraId="048B2162">
            <w:pPr>
              <w:pStyle w:val="180"/>
              <w:rPr>
                <w:color w:val="000000" w:themeColor="text1"/>
              </w:rPr>
            </w:pPr>
          </w:p>
        </w:tc>
        <w:tc>
          <w:tcPr>
            <w:tcW w:w="894" w:type="dxa"/>
          </w:tcPr>
          <w:p w14:paraId="4A7B4025">
            <w:pPr>
              <w:pStyle w:val="180"/>
              <w:rPr>
                <w:color w:val="000000" w:themeColor="text1"/>
              </w:rPr>
            </w:pPr>
          </w:p>
        </w:tc>
        <w:tc>
          <w:tcPr>
            <w:tcW w:w="895" w:type="dxa"/>
            <w:shd w:val="clear" w:color="auto" w:fill="auto"/>
            <w:vAlign w:val="center"/>
          </w:tcPr>
          <w:p w14:paraId="27E74289">
            <w:pPr>
              <w:pStyle w:val="180"/>
              <w:rPr>
                <w:color w:val="000000" w:themeColor="text1"/>
              </w:rPr>
            </w:pPr>
          </w:p>
        </w:tc>
        <w:tc>
          <w:tcPr>
            <w:tcW w:w="895" w:type="dxa"/>
            <w:shd w:val="clear" w:color="auto" w:fill="auto"/>
            <w:vAlign w:val="center"/>
          </w:tcPr>
          <w:p w14:paraId="21581CB1">
            <w:pPr>
              <w:pStyle w:val="180"/>
              <w:rPr>
                <w:color w:val="000000" w:themeColor="text1"/>
              </w:rPr>
            </w:pPr>
          </w:p>
        </w:tc>
        <w:tc>
          <w:tcPr>
            <w:tcW w:w="895" w:type="dxa"/>
            <w:shd w:val="clear" w:color="auto" w:fill="auto"/>
            <w:vAlign w:val="center"/>
          </w:tcPr>
          <w:p w14:paraId="501793C5">
            <w:pPr>
              <w:pStyle w:val="180"/>
              <w:rPr>
                <w:color w:val="000000" w:themeColor="text1"/>
              </w:rPr>
            </w:pPr>
          </w:p>
        </w:tc>
        <w:tc>
          <w:tcPr>
            <w:tcW w:w="895" w:type="dxa"/>
            <w:shd w:val="clear" w:color="auto" w:fill="auto"/>
            <w:vAlign w:val="center"/>
          </w:tcPr>
          <w:p w14:paraId="5CA5BF79">
            <w:pPr>
              <w:pStyle w:val="180"/>
              <w:rPr>
                <w:color w:val="000000" w:themeColor="text1"/>
              </w:rPr>
            </w:pPr>
          </w:p>
        </w:tc>
        <w:tc>
          <w:tcPr>
            <w:tcW w:w="652" w:type="dxa"/>
            <w:shd w:val="clear" w:color="auto" w:fill="auto"/>
            <w:vAlign w:val="center"/>
          </w:tcPr>
          <w:p w14:paraId="47FF78E9">
            <w:pPr>
              <w:pStyle w:val="180"/>
              <w:rPr>
                <w:color w:val="000000" w:themeColor="text1"/>
              </w:rPr>
            </w:pPr>
          </w:p>
        </w:tc>
        <w:tc>
          <w:tcPr>
            <w:tcW w:w="666" w:type="dxa"/>
            <w:shd w:val="clear" w:color="auto" w:fill="auto"/>
            <w:vAlign w:val="center"/>
          </w:tcPr>
          <w:p w14:paraId="3120FDED">
            <w:pPr>
              <w:pStyle w:val="180"/>
              <w:rPr>
                <w:color w:val="000000" w:themeColor="text1"/>
              </w:rPr>
            </w:pPr>
          </w:p>
        </w:tc>
      </w:tr>
      <w:tr w14:paraId="7C20F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791" w:type="dxa"/>
            <w:shd w:val="clear" w:color="auto" w:fill="auto"/>
            <w:vAlign w:val="center"/>
          </w:tcPr>
          <w:p w14:paraId="1772B5C5">
            <w:pPr>
              <w:pStyle w:val="180"/>
              <w:rPr>
                <w:color w:val="000000" w:themeColor="text1"/>
              </w:rPr>
            </w:pPr>
          </w:p>
        </w:tc>
        <w:tc>
          <w:tcPr>
            <w:tcW w:w="1154" w:type="dxa"/>
            <w:shd w:val="clear" w:color="auto" w:fill="auto"/>
            <w:vAlign w:val="center"/>
          </w:tcPr>
          <w:p w14:paraId="5A032353">
            <w:pPr>
              <w:pStyle w:val="180"/>
              <w:rPr>
                <w:color w:val="000000" w:themeColor="text1"/>
              </w:rPr>
            </w:pPr>
          </w:p>
        </w:tc>
        <w:tc>
          <w:tcPr>
            <w:tcW w:w="1031" w:type="dxa"/>
            <w:shd w:val="clear" w:color="auto" w:fill="auto"/>
            <w:vAlign w:val="center"/>
          </w:tcPr>
          <w:p w14:paraId="050392F6">
            <w:pPr>
              <w:pStyle w:val="180"/>
              <w:rPr>
                <w:color w:val="000000" w:themeColor="text1"/>
              </w:rPr>
            </w:pPr>
          </w:p>
        </w:tc>
        <w:tc>
          <w:tcPr>
            <w:tcW w:w="1600" w:type="dxa"/>
          </w:tcPr>
          <w:p w14:paraId="52880694">
            <w:pPr>
              <w:pStyle w:val="180"/>
              <w:rPr>
                <w:color w:val="000000" w:themeColor="text1"/>
              </w:rPr>
            </w:pPr>
          </w:p>
        </w:tc>
        <w:tc>
          <w:tcPr>
            <w:tcW w:w="894" w:type="dxa"/>
          </w:tcPr>
          <w:p w14:paraId="58D7C96B">
            <w:pPr>
              <w:pStyle w:val="180"/>
              <w:rPr>
                <w:color w:val="000000" w:themeColor="text1"/>
              </w:rPr>
            </w:pPr>
          </w:p>
        </w:tc>
        <w:tc>
          <w:tcPr>
            <w:tcW w:w="895" w:type="dxa"/>
            <w:shd w:val="clear" w:color="auto" w:fill="auto"/>
            <w:vAlign w:val="center"/>
          </w:tcPr>
          <w:p w14:paraId="5A695771">
            <w:pPr>
              <w:pStyle w:val="180"/>
              <w:rPr>
                <w:color w:val="000000" w:themeColor="text1"/>
              </w:rPr>
            </w:pPr>
          </w:p>
        </w:tc>
        <w:tc>
          <w:tcPr>
            <w:tcW w:w="895" w:type="dxa"/>
            <w:shd w:val="clear" w:color="auto" w:fill="auto"/>
            <w:vAlign w:val="center"/>
          </w:tcPr>
          <w:p w14:paraId="11C6F034">
            <w:pPr>
              <w:pStyle w:val="180"/>
              <w:rPr>
                <w:color w:val="000000" w:themeColor="text1"/>
              </w:rPr>
            </w:pPr>
          </w:p>
        </w:tc>
        <w:tc>
          <w:tcPr>
            <w:tcW w:w="895" w:type="dxa"/>
            <w:shd w:val="clear" w:color="auto" w:fill="auto"/>
            <w:vAlign w:val="center"/>
          </w:tcPr>
          <w:p w14:paraId="658E23BD">
            <w:pPr>
              <w:pStyle w:val="180"/>
              <w:rPr>
                <w:color w:val="000000" w:themeColor="text1"/>
              </w:rPr>
            </w:pPr>
          </w:p>
        </w:tc>
        <w:tc>
          <w:tcPr>
            <w:tcW w:w="895" w:type="dxa"/>
            <w:shd w:val="clear" w:color="auto" w:fill="auto"/>
            <w:vAlign w:val="center"/>
          </w:tcPr>
          <w:p w14:paraId="3AD92E75">
            <w:pPr>
              <w:pStyle w:val="180"/>
              <w:rPr>
                <w:color w:val="000000" w:themeColor="text1"/>
              </w:rPr>
            </w:pPr>
          </w:p>
        </w:tc>
        <w:tc>
          <w:tcPr>
            <w:tcW w:w="652" w:type="dxa"/>
            <w:shd w:val="clear" w:color="auto" w:fill="auto"/>
            <w:vAlign w:val="center"/>
          </w:tcPr>
          <w:p w14:paraId="7E9FE83C">
            <w:pPr>
              <w:pStyle w:val="180"/>
              <w:rPr>
                <w:color w:val="000000" w:themeColor="text1"/>
              </w:rPr>
            </w:pPr>
          </w:p>
        </w:tc>
        <w:tc>
          <w:tcPr>
            <w:tcW w:w="666" w:type="dxa"/>
            <w:shd w:val="clear" w:color="auto" w:fill="auto"/>
            <w:vAlign w:val="center"/>
          </w:tcPr>
          <w:p w14:paraId="327712F1">
            <w:pPr>
              <w:pStyle w:val="180"/>
              <w:rPr>
                <w:color w:val="000000" w:themeColor="text1"/>
              </w:rPr>
            </w:pPr>
          </w:p>
        </w:tc>
      </w:tr>
    </w:tbl>
    <w:p w14:paraId="660384A6">
      <w:pPr>
        <w:pStyle w:val="58"/>
        <w:ind w:firstLine="420"/>
        <w:rPr>
          <w:color w:val="000000" w:themeColor="text1"/>
        </w:rPr>
      </w:pPr>
    </w:p>
    <w:p w14:paraId="4D1D8BA3">
      <w:pPr>
        <w:pStyle w:val="58"/>
        <w:ind w:firstLine="420"/>
        <w:rPr>
          <w:color w:val="000000" w:themeColor="text1"/>
        </w:rPr>
      </w:pPr>
    </w:p>
    <w:p w14:paraId="2A8CAA96">
      <w:pPr>
        <w:pStyle w:val="58"/>
        <w:ind w:firstLine="420"/>
        <w:rPr>
          <w:color w:val="000000" w:themeColor="text1"/>
        </w:rPr>
      </w:pPr>
    </w:p>
    <w:p w14:paraId="08ED5618">
      <w:pPr>
        <w:pStyle w:val="58"/>
        <w:ind w:firstLine="420"/>
        <w:rPr>
          <w:color w:val="000000" w:themeColor="text1"/>
        </w:rPr>
        <w:sectPr>
          <w:headerReference r:id="rId16" w:type="default"/>
          <w:footerReference r:id="rId18" w:type="default"/>
          <w:headerReference r:id="rId17" w:type="even"/>
          <w:footerReference r:id="rId19" w:type="even"/>
          <w:pgSz w:w="11906" w:h="16838"/>
          <w:pgMar w:top="1928" w:right="1134" w:bottom="1134" w:left="1134" w:header="1418" w:footer="1134" w:gutter="284"/>
          <w:cols w:space="425" w:num="1"/>
          <w:formProt w:val="0"/>
          <w:docGrid w:type="lines" w:linePitch="312" w:charSpace="0"/>
        </w:sectPr>
      </w:pPr>
    </w:p>
    <w:p w14:paraId="78E36876">
      <w:pPr>
        <w:pStyle w:val="200"/>
        <w:rPr>
          <w:vanish w:val="0"/>
          <w:color w:val="000000" w:themeColor="text1"/>
        </w:rPr>
      </w:pPr>
    </w:p>
    <w:p w14:paraId="048E2E2C">
      <w:pPr>
        <w:pStyle w:val="201"/>
        <w:rPr>
          <w:vanish w:val="0"/>
          <w:color w:val="000000" w:themeColor="text1"/>
        </w:rPr>
      </w:pPr>
    </w:p>
    <w:p w14:paraId="2708F147">
      <w:pPr>
        <w:pStyle w:val="78"/>
        <w:spacing w:after="156"/>
        <w:rPr>
          <w:color w:val="000000" w:themeColor="text1"/>
        </w:rPr>
      </w:pPr>
      <w:r>
        <w:rPr>
          <w:color w:val="000000" w:themeColor="text1"/>
        </w:rPr>
        <w:br w:type="textWrapping"/>
      </w:r>
      <w:bookmarkStart w:id="155" w:name="_Toc182083001"/>
      <w:bookmarkStart w:id="156" w:name="_Toc185672282"/>
      <w:bookmarkStart w:id="157" w:name="_Toc185426298"/>
      <w:r>
        <w:rPr>
          <w:rFonts w:hint="eastAsia"/>
          <w:color w:val="000000" w:themeColor="text1"/>
        </w:rPr>
        <w:t>（资料性）</w:t>
      </w:r>
      <w:r>
        <w:rPr>
          <w:color w:val="000000" w:themeColor="text1"/>
        </w:rPr>
        <w:br w:type="textWrapping"/>
      </w:r>
      <w:r>
        <w:rPr>
          <w:rFonts w:hint="eastAsia"/>
          <w:color w:val="000000" w:themeColor="text1"/>
        </w:rPr>
        <w:t>重大风险告知栏</w:t>
      </w:r>
      <w:bookmarkEnd w:id="155"/>
      <w:bookmarkEnd w:id="156"/>
      <w:bookmarkEnd w:id="157"/>
    </w:p>
    <w:p w14:paraId="3D3752D7">
      <w:pPr>
        <w:pStyle w:val="58"/>
        <w:ind w:firstLine="420"/>
        <w:rPr>
          <w:color w:val="000000" w:themeColor="text1"/>
        </w:rPr>
      </w:pP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31"/>
        <w:gridCol w:w="1030"/>
        <w:gridCol w:w="1030"/>
        <w:gridCol w:w="1030"/>
        <w:gridCol w:w="1030"/>
        <w:gridCol w:w="1030"/>
        <w:gridCol w:w="1030"/>
        <w:gridCol w:w="1030"/>
        <w:gridCol w:w="1133"/>
      </w:tblGrid>
      <w:tr w14:paraId="326379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33" w:type="dxa"/>
            <w:tcBorders>
              <w:top w:val="single" w:color="auto" w:sz="8" w:space="0"/>
              <w:bottom w:val="single" w:color="auto" w:sz="8" w:space="0"/>
            </w:tcBorders>
            <w:shd w:val="clear" w:color="auto" w:fill="auto"/>
            <w:vAlign w:val="center"/>
          </w:tcPr>
          <w:p w14:paraId="05B7BDDE">
            <w:pPr>
              <w:pStyle w:val="180"/>
              <w:rPr>
                <w:color w:val="000000" w:themeColor="text1"/>
              </w:rPr>
            </w:pPr>
            <w:r>
              <w:rPr>
                <w:rFonts w:hint="eastAsia" w:hAnsi="宋体"/>
                <w:color w:val="000000" w:themeColor="text1"/>
                <w:szCs w:val="18"/>
              </w:rPr>
              <w:t>序号</w:t>
            </w:r>
          </w:p>
        </w:tc>
        <w:tc>
          <w:tcPr>
            <w:tcW w:w="1535" w:type="dxa"/>
            <w:tcBorders>
              <w:top w:val="single" w:color="auto" w:sz="8" w:space="0"/>
              <w:bottom w:val="single" w:color="auto" w:sz="8" w:space="0"/>
            </w:tcBorders>
            <w:shd w:val="clear" w:color="auto" w:fill="auto"/>
            <w:vAlign w:val="center"/>
          </w:tcPr>
          <w:p w14:paraId="5C7BA3BD">
            <w:pPr>
              <w:pStyle w:val="180"/>
              <w:rPr>
                <w:color w:val="000000" w:themeColor="text1"/>
              </w:rPr>
            </w:pPr>
            <w:r>
              <w:rPr>
                <w:rFonts w:hint="eastAsia" w:hAnsi="宋体"/>
                <w:color w:val="000000" w:themeColor="text1"/>
                <w:szCs w:val="18"/>
                <w:lang w:val="en-US" w:eastAsia="zh-CN"/>
              </w:rPr>
              <w:t>塔机</w:t>
            </w:r>
            <w:r>
              <w:rPr>
                <w:rFonts w:hint="eastAsia" w:hAnsi="宋体"/>
                <w:color w:val="000000" w:themeColor="text1"/>
                <w:szCs w:val="18"/>
              </w:rPr>
              <w:t>编号</w:t>
            </w:r>
          </w:p>
        </w:tc>
        <w:tc>
          <w:tcPr>
            <w:tcW w:w="1535" w:type="dxa"/>
            <w:tcBorders>
              <w:top w:val="single" w:color="auto" w:sz="8" w:space="0"/>
              <w:bottom w:val="single" w:color="auto" w:sz="8" w:space="0"/>
            </w:tcBorders>
            <w:shd w:val="clear" w:color="auto" w:fill="auto"/>
            <w:vAlign w:val="center"/>
          </w:tcPr>
          <w:p w14:paraId="4E832571">
            <w:pPr>
              <w:pStyle w:val="180"/>
              <w:rPr>
                <w:color w:val="000000" w:themeColor="text1"/>
              </w:rPr>
            </w:pPr>
            <w:r>
              <w:rPr>
                <w:rFonts w:hint="eastAsia" w:hAnsi="宋体"/>
                <w:color w:val="000000" w:themeColor="text1"/>
                <w:szCs w:val="18"/>
              </w:rPr>
              <w:t>风险源</w:t>
            </w:r>
          </w:p>
        </w:tc>
        <w:tc>
          <w:tcPr>
            <w:tcW w:w="1535" w:type="dxa"/>
            <w:tcBorders>
              <w:top w:val="single" w:color="auto" w:sz="8" w:space="0"/>
              <w:bottom w:val="single" w:color="auto" w:sz="8" w:space="0"/>
            </w:tcBorders>
            <w:shd w:val="clear" w:color="auto" w:fill="auto"/>
            <w:vAlign w:val="center"/>
          </w:tcPr>
          <w:p w14:paraId="7FF847FA">
            <w:pPr>
              <w:pStyle w:val="180"/>
              <w:rPr>
                <w:color w:val="000000" w:themeColor="text1"/>
              </w:rPr>
            </w:pPr>
            <w:r>
              <w:rPr>
                <w:rFonts w:hint="eastAsia" w:hAnsi="宋体"/>
                <w:color w:val="000000" w:themeColor="text1"/>
                <w:szCs w:val="18"/>
              </w:rPr>
              <w:t>可能导致的事故特征及后果</w:t>
            </w:r>
          </w:p>
        </w:tc>
        <w:tc>
          <w:tcPr>
            <w:tcW w:w="1535" w:type="dxa"/>
            <w:tcBorders>
              <w:top w:val="single" w:color="auto" w:sz="8" w:space="0"/>
              <w:bottom w:val="single" w:color="auto" w:sz="8" w:space="0"/>
            </w:tcBorders>
            <w:shd w:val="clear" w:color="auto" w:fill="auto"/>
            <w:vAlign w:val="center"/>
          </w:tcPr>
          <w:p w14:paraId="011D7D2E">
            <w:pPr>
              <w:pStyle w:val="180"/>
              <w:rPr>
                <w:color w:val="000000" w:themeColor="text1"/>
              </w:rPr>
            </w:pPr>
            <w:r>
              <w:rPr>
                <w:rFonts w:hint="eastAsia" w:hAnsi="宋体"/>
                <w:color w:val="000000" w:themeColor="text1"/>
                <w:szCs w:val="18"/>
              </w:rPr>
              <w:t>控制措施</w:t>
            </w:r>
          </w:p>
        </w:tc>
        <w:tc>
          <w:tcPr>
            <w:tcW w:w="1535" w:type="dxa"/>
            <w:tcBorders>
              <w:top w:val="single" w:color="auto" w:sz="8" w:space="0"/>
              <w:bottom w:val="single" w:color="auto" w:sz="8" w:space="0"/>
            </w:tcBorders>
            <w:shd w:val="clear" w:color="auto" w:fill="auto"/>
            <w:vAlign w:val="center"/>
          </w:tcPr>
          <w:p w14:paraId="6A695528">
            <w:pPr>
              <w:pStyle w:val="180"/>
              <w:rPr>
                <w:color w:val="000000" w:themeColor="text1"/>
              </w:rPr>
            </w:pPr>
            <w:r>
              <w:rPr>
                <w:rFonts w:hint="eastAsia" w:hAnsi="宋体"/>
                <w:color w:val="000000" w:themeColor="text1"/>
                <w:szCs w:val="18"/>
              </w:rPr>
              <w:t>管控层级</w:t>
            </w:r>
          </w:p>
        </w:tc>
        <w:tc>
          <w:tcPr>
            <w:tcW w:w="1535" w:type="dxa"/>
            <w:tcBorders>
              <w:top w:val="single" w:color="auto" w:sz="8" w:space="0"/>
              <w:bottom w:val="single" w:color="auto" w:sz="8" w:space="0"/>
            </w:tcBorders>
            <w:shd w:val="clear" w:color="auto" w:fill="auto"/>
            <w:vAlign w:val="center"/>
          </w:tcPr>
          <w:p w14:paraId="057D556B">
            <w:pPr>
              <w:pStyle w:val="180"/>
              <w:rPr>
                <w:color w:val="000000" w:themeColor="text1"/>
              </w:rPr>
            </w:pPr>
            <w:r>
              <w:rPr>
                <w:rFonts w:hint="eastAsia" w:hAnsi="宋体"/>
                <w:color w:val="000000" w:themeColor="text1"/>
                <w:szCs w:val="18"/>
              </w:rPr>
              <w:t>责任部门</w:t>
            </w:r>
          </w:p>
        </w:tc>
        <w:tc>
          <w:tcPr>
            <w:tcW w:w="1535" w:type="dxa"/>
            <w:tcBorders>
              <w:top w:val="single" w:color="auto" w:sz="8" w:space="0"/>
              <w:bottom w:val="single" w:color="auto" w:sz="8" w:space="0"/>
            </w:tcBorders>
            <w:shd w:val="clear" w:color="auto" w:fill="auto"/>
            <w:vAlign w:val="center"/>
          </w:tcPr>
          <w:p w14:paraId="2E7E9326">
            <w:pPr>
              <w:pStyle w:val="180"/>
              <w:rPr>
                <w:color w:val="000000" w:themeColor="text1"/>
              </w:rPr>
            </w:pPr>
            <w:r>
              <w:rPr>
                <w:rFonts w:hint="eastAsia" w:hAnsi="宋体"/>
                <w:color w:val="000000" w:themeColor="text1"/>
                <w:szCs w:val="18"/>
              </w:rPr>
              <w:t>责任人</w:t>
            </w:r>
          </w:p>
        </w:tc>
        <w:tc>
          <w:tcPr>
            <w:tcW w:w="1535" w:type="dxa"/>
            <w:tcBorders>
              <w:top w:val="single" w:color="auto" w:sz="8" w:space="0"/>
              <w:bottom w:val="single" w:color="auto" w:sz="8" w:space="0"/>
            </w:tcBorders>
            <w:shd w:val="clear" w:color="auto" w:fill="auto"/>
            <w:vAlign w:val="center"/>
          </w:tcPr>
          <w:p w14:paraId="4FA495E8">
            <w:pPr>
              <w:pStyle w:val="180"/>
              <w:rPr>
                <w:color w:val="000000" w:themeColor="text1"/>
              </w:rPr>
            </w:pPr>
            <w:r>
              <w:rPr>
                <w:rFonts w:hint="eastAsia"/>
                <w:color w:val="000000" w:themeColor="text1"/>
              </w:rPr>
              <w:t>应急电话</w:t>
            </w:r>
          </w:p>
        </w:tc>
      </w:tr>
      <w:tr w14:paraId="606DB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3" w:type="dxa"/>
            <w:tcBorders>
              <w:top w:val="single" w:color="auto" w:sz="8" w:space="0"/>
            </w:tcBorders>
            <w:shd w:val="clear" w:color="auto" w:fill="auto"/>
            <w:vAlign w:val="center"/>
          </w:tcPr>
          <w:p w14:paraId="247BD413">
            <w:pPr>
              <w:pStyle w:val="180"/>
              <w:rPr>
                <w:color w:val="000000" w:themeColor="text1"/>
              </w:rPr>
            </w:pPr>
          </w:p>
        </w:tc>
        <w:tc>
          <w:tcPr>
            <w:tcW w:w="1535" w:type="dxa"/>
            <w:tcBorders>
              <w:top w:val="single" w:color="auto" w:sz="8" w:space="0"/>
            </w:tcBorders>
            <w:shd w:val="clear" w:color="auto" w:fill="auto"/>
            <w:vAlign w:val="center"/>
          </w:tcPr>
          <w:p w14:paraId="268F5AC7">
            <w:pPr>
              <w:pStyle w:val="180"/>
              <w:rPr>
                <w:color w:val="000000" w:themeColor="text1"/>
              </w:rPr>
            </w:pPr>
          </w:p>
        </w:tc>
        <w:tc>
          <w:tcPr>
            <w:tcW w:w="1535" w:type="dxa"/>
            <w:tcBorders>
              <w:top w:val="single" w:color="auto" w:sz="8" w:space="0"/>
            </w:tcBorders>
            <w:shd w:val="clear" w:color="auto" w:fill="auto"/>
            <w:vAlign w:val="center"/>
          </w:tcPr>
          <w:p w14:paraId="2FA100F5">
            <w:pPr>
              <w:pStyle w:val="180"/>
              <w:rPr>
                <w:color w:val="000000" w:themeColor="text1"/>
              </w:rPr>
            </w:pPr>
          </w:p>
        </w:tc>
        <w:tc>
          <w:tcPr>
            <w:tcW w:w="1535" w:type="dxa"/>
            <w:tcBorders>
              <w:top w:val="single" w:color="auto" w:sz="8" w:space="0"/>
            </w:tcBorders>
            <w:shd w:val="clear" w:color="auto" w:fill="auto"/>
            <w:vAlign w:val="center"/>
          </w:tcPr>
          <w:p w14:paraId="69B7B9D9">
            <w:pPr>
              <w:pStyle w:val="180"/>
              <w:rPr>
                <w:color w:val="000000" w:themeColor="text1"/>
              </w:rPr>
            </w:pPr>
          </w:p>
        </w:tc>
        <w:tc>
          <w:tcPr>
            <w:tcW w:w="1535" w:type="dxa"/>
            <w:tcBorders>
              <w:top w:val="single" w:color="auto" w:sz="8" w:space="0"/>
            </w:tcBorders>
            <w:shd w:val="clear" w:color="auto" w:fill="auto"/>
            <w:vAlign w:val="center"/>
          </w:tcPr>
          <w:p w14:paraId="3EFF44A3">
            <w:pPr>
              <w:pStyle w:val="180"/>
              <w:rPr>
                <w:color w:val="000000" w:themeColor="text1"/>
              </w:rPr>
            </w:pPr>
          </w:p>
        </w:tc>
        <w:tc>
          <w:tcPr>
            <w:tcW w:w="1535" w:type="dxa"/>
            <w:tcBorders>
              <w:top w:val="single" w:color="auto" w:sz="8" w:space="0"/>
            </w:tcBorders>
            <w:shd w:val="clear" w:color="auto" w:fill="auto"/>
            <w:vAlign w:val="center"/>
          </w:tcPr>
          <w:p w14:paraId="50AB860C">
            <w:pPr>
              <w:pStyle w:val="180"/>
              <w:rPr>
                <w:color w:val="000000" w:themeColor="text1"/>
              </w:rPr>
            </w:pPr>
          </w:p>
        </w:tc>
        <w:tc>
          <w:tcPr>
            <w:tcW w:w="1535" w:type="dxa"/>
            <w:tcBorders>
              <w:top w:val="single" w:color="auto" w:sz="8" w:space="0"/>
            </w:tcBorders>
            <w:shd w:val="clear" w:color="auto" w:fill="auto"/>
            <w:vAlign w:val="center"/>
          </w:tcPr>
          <w:p w14:paraId="3F4D1362">
            <w:pPr>
              <w:pStyle w:val="180"/>
              <w:rPr>
                <w:color w:val="000000" w:themeColor="text1"/>
              </w:rPr>
            </w:pPr>
          </w:p>
        </w:tc>
        <w:tc>
          <w:tcPr>
            <w:tcW w:w="1535" w:type="dxa"/>
            <w:tcBorders>
              <w:top w:val="single" w:color="auto" w:sz="8" w:space="0"/>
            </w:tcBorders>
            <w:shd w:val="clear" w:color="auto" w:fill="auto"/>
            <w:vAlign w:val="center"/>
          </w:tcPr>
          <w:p w14:paraId="00F28B55">
            <w:pPr>
              <w:pStyle w:val="180"/>
              <w:rPr>
                <w:color w:val="000000" w:themeColor="text1"/>
              </w:rPr>
            </w:pPr>
          </w:p>
        </w:tc>
        <w:tc>
          <w:tcPr>
            <w:tcW w:w="1535" w:type="dxa"/>
            <w:vMerge w:val="restart"/>
            <w:tcBorders>
              <w:top w:val="single" w:color="auto" w:sz="8" w:space="0"/>
            </w:tcBorders>
            <w:shd w:val="clear" w:color="auto" w:fill="auto"/>
            <w:vAlign w:val="center"/>
          </w:tcPr>
          <w:p w14:paraId="47DBDD59">
            <w:pPr>
              <w:widowControl/>
              <w:spacing w:line="240" w:lineRule="auto"/>
              <w:jc w:val="left"/>
              <w:rPr>
                <w:rFonts w:ascii="宋体" w:hAnsi="宋体"/>
                <w:color w:val="000000" w:themeColor="text1"/>
                <w:kern w:val="0"/>
                <w:sz w:val="18"/>
                <w:szCs w:val="18"/>
              </w:rPr>
            </w:pPr>
            <w:r>
              <w:rPr>
                <w:rFonts w:hint="eastAsia" w:ascii="宋体" w:hAnsi="宋体"/>
                <w:color w:val="000000" w:themeColor="text1"/>
                <w:kern w:val="0"/>
                <w:sz w:val="18"/>
                <w:szCs w:val="18"/>
              </w:rPr>
              <w:t>火警：</w:t>
            </w:r>
            <w:r>
              <w:rPr>
                <w:rFonts w:ascii="宋体" w:hAnsi="宋体"/>
                <w:color w:val="000000" w:themeColor="text1"/>
                <w:kern w:val="0"/>
                <w:sz w:val="18"/>
                <w:szCs w:val="18"/>
              </w:rPr>
              <w:t>XXX</w:t>
            </w:r>
          </w:p>
          <w:p w14:paraId="1E324886">
            <w:pPr>
              <w:widowControl/>
              <w:spacing w:line="240" w:lineRule="auto"/>
              <w:jc w:val="left"/>
              <w:rPr>
                <w:rFonts w:ascii="宋体" w:hAnsi="宋体"/>
                <w:color w:val="000000" w:themeColor="text1"/>
                <w:kern w:val="0"/>
                <w:sz w:val="18"/>
                <w:szCs w:val="18"/>
              </w:rPr>
            </w:pPr>
            <w:r>
              <w:rPr>
                <w:rFonts w:hint="eastAsia" w:ascii="宋体" w:hAnsi="宋体"/>
                <w:color w:val="000000" w:themeColor="text1"/>
                <w:kern w:val="0"/>
                <w:sz w:val="18"/>
                <w:szCs w:val="18"/>
              </w:rPr>
              <w:t>医疗救护：</w:t>
            </w:r>
            <w:r>
              <w:rPr>
                <w:rFonts w:ascii="宋体" w:hAnsi="宋体"/>
                <w:color w:val="000000" w:themeColor="text1"/>
                <w:kern w:val="0"/>
                <w:sz w:val="18"/>
                <w:szCs w:val="18"/>
              </w:rPr>
              <w:t>XXX</w:t>
            </w:r>
          </w:p>
          <w:p w14:paraId="3C714B60">
            <w:pPr>
              <w:pStyle w:val="180"/>
              <w:jc w:val="both"/>
              <w:rPr>
                <w:rFonts w:hAnsi="宋体"/>
                <w:color w:val="000000" w:themeColor="text1"/>
                <w:szCs w:val="18"/>
              </w:rPr>
            </w:pPr>
            <w:r>
              <w:rPr>
                <w:rFonts w:hint="eastAsia" w:hAnsi="宋体"/>
                <w:color w:val="000000" w:themeColor="text1"/>
                <w:szCs w:val="18"/>
              </w:rPr>
              <w:t>应急电话：</w:t>
            </w:r>
            <w:r>
              <w:rPr>
                <w:rFonts w:hAnsi="宋体"/>
                <w:color w:val="000000" w:themeColor="text1"/>
                <w:szCs w:val="18"/>
              </w:rPr>
              <w:t>XXX</w:t>
            </w:r>
          </w:p>
          <w:p w14:paraId="6F5C7A55">
            <w:pPr>
              <w:pStyle w:val="180"/>
              <w:jc w:val="both"/>
              <w:rPr>
                <w:color w:val="000000" w:themeColor="text1"/>
              </w:rPr>
            </w:pPr>
            <w:r>
              <w:rPr>
                <w:rFonts w:hint="eastAsia" w:hAnsi="宋体"/>
                <w:color w:val="000000" w:themeColor="text1"/>
                <w:szCs w:val="18"/>
              </w:rPr>
              <w:t>工程部：</w:t>
            </w:r>
            <w:r>
              <w:rPr>
                <w:rFonts w:hAnsi="宋体"/>
                <w:color w:val="000000" w:themeColor="text1"/>
                <w:szCs w:val="18"/>
              </w:rPr>
              <w:t>XXX</w:t>
            </w:r>
            <w:r>
              <w:rPr>
                <w:rFonts w:hint="eastAsia" w:hAnsi="宋体"/>
                <w:color w:val="000000" w:themeColor="text1"/>
                <w:szCs w:val="18"/>
              </w:rPr>
              <w:t>。</w:t>
            </w:r>
          </w:p>
        </w:tc>
      </w:tr>
      <w:tr w14:paraId="7264F2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3" w:type="dxa"/>
            <w:shd w:val="clear" w:color="auto" w:fill="auto"/>
            <w:vAlign w:val="center"/>
          </w:tcPr>
          <w:p w14:paraId="04059570">
            <w:pPr>
              <w:pStyle w:val="180"/>
              <w:rPr>
                <w:color w:val="000000" w:themeColor="text1"/>
              </w:rPr>
            </w:pPr>
          </w:p>
        </w:tc>
        <w:tc>
          <w:tcPr>
            <w:tcW w:w="1535" w:type="dxa"/>
            <w:shd w:val="clear" w:color="auto" w:fill="auto"/>
            <w:vAlign w:val="center"/>
          </w:tcPr>
          <w:p w14:paraId="1CF86A5D">
            <w:pPr>
              <w:pStyle w:val="180"/>
              <w:rPr>
                <w:color w:val="000000" w:themeColor="text1"/>
              </w:rPr>
            </w:pPr>
          </w:p>
        </w:tc>
        <w:tc>
          <w:tcPr>
            <w:tcW w:w="1535" w:type="dxa"/>
            <w:shd w:val="clear" w:color="auto" w:fill="auto"/>
            <w:vAlign w:val="center"/>
          </w:tcPr>
          <w:p w14:paraId="4CE23658">
            <w:pPr>
              <w:pStyle w:val="180"/>
              <w:rPr>
                <w:color w:val="000000" w:themeColor="text1"/>
              </w:rPr>
            </w:pPr>
          </w:p>
        </w:tc>
        <w:tc>
          <w:tcPr>
            <w:tcW w:w="1535" w:type="dxa"/>
            <w:shd w:val="clear" w:color="auto" w:fill="auto"/>
            <w:vAlign w:val="center"/>
          </w:tcPr>
          <w:p w14:paraId="22FD3F02">
            <w:pPr>
              <w:pStyle w:val="180"/>
              <w:rPr>
                <w:color w:val="000000" w:themeColor="text1"/>
              </w:rPr>
            </w:pPr>
          </w:p>
        </w:tc>
        <w:tc>
          <w:tcPr>
            <w:tcW w:w="1535" w:type="dxa"/>
            <w:shd w:val="clear" w:color="auto" w:fill="auto"/>
            <w:vAlign w:val="center"/>
          </w:tcPr>
          <w:p w14:paraId="7E347F9C">
            <w:pPr>
              <w:pStyle w:val="180"/>
              <w:rPr>
                <w:color w:val="000000" w:themeColor="text1"/>
              </w:rPr>
            </w:pPr>
          </w:p>
        </w:tc>
        <w:tc>
          <w:tcPr>
            <w:tcW w:w="1535" w:type="dxa"/>
            <w:shd w:val="clear" w:color="auto" w:fill="auto"/>
            <w:vAlign w:val="center"/>
          </w:tcPr>
          <w:p w14:paraId="3F7E512A">
            <w:pPr>
              <w:pStyle w:val="180"/>
              <w:rPr>
                <w:color w:val="000000" w:themeColor="text1"/>
              </w:rPr>
            </w:pPr>
          </w:p>
        </w:tc>
        <w:tc>
          <w:tcPr>
            <w:tcW w:w="1535" w:type="dxa"/>
            <w:shd w:val="clear" w:color="auto" w:fill="auto"/>
            <w:vAlign w:val="center"/>
          </w:tcPr>
          <w:p w14:paraId="6A928E03">
            <w:pPr>
              <w:pStyle w:val="180"/>
              <w:rPr>
                <w:color w:val="000000" w:themeColor="text1"/>
              </w:rPr>
            </w:pPr>
          </w:p>
        </w:tc>
        <w:tc>
          <w:tcPr>
            <w:tcW w:w="1535" w:type="dxa"/>
            <w:shd w:val="clear" w:color="auto" w:fill="auto"/>
            <w:vAlign w:val="center"/>
          </w:tcPr>
          <w:p w14:paraId="057E7D0B">
            <w:pPr>
              <w:pStyle w:val="180"/>
              <w:rPr>
                <w:color w:val="000000" w:themeColor="text1"/>
              </w:rPr>
            </w:pPr>
          </w:p>
        </w:tc>
        <w:tc>
          <w:tcPr>
            <w:tcW w:w="1535" w:type="dxa"/>
            <w:vMerge w:val="continue"/>
            <w:shd w:val="clear" w:color="auto" w:fill="auto"/>
            <w:vAlign w:val="center"/>
          </w:tcPr>
          <w:p w14:paraId="73755453">
            <w:pPr>
              <w:pStyle w:val="180"/>
              <w:rPr>
                <w:color w:val="000000" w:themeColor="text1"/>
              </w:rPr>
            </w:pPr>
          </w:p>
        </w:tc>
      </w:tr>
      <w:tr w14:paraId="6365D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33" w:type="dxa"/>
            <w:shd w:val="clear" w:color="auto" w:fill="auto"/>
            <w:vAlign w:val="center"/>
          </w:tcPr>
          <w:p w14:paraId="079D0024">
            <w:pPr>
              <w:pStyle w:val="180"/>
              <w:rPr>
                <w:color w:val="000000" w:themeColor="text1"/>
              </w:rPr>
            </w:pPr>
          </w:p>
        </w:tc>
        <w:tc>
          <w:tcPr>
            <w:tcW w:w="1535" w:type="dxa"/>
            <w:shd w:val="clear" w:color="auto" w:fill="auto"/>
            <w:vAlign w:val="center"/>
          </w:tcPr>
          <w:p w14:paraId="02A28479">
            <w:pPr>
              <w:pStyle w:val="180"/>
              <w:rPr>
                <w:color w:val="000000" w:themeColor="text1"/>
              </w:rPr>
            </w:pPr>
          </w:p>
        </w:tc>
        <w:tc>
          <w:tcPr>
            <w:tcW w:w="1535" w:type="dxa"/>
            <w:shd w:val="clear" w:color="auto" w:fill="auto"/>
            <w:vAlign w:val="center"/>
          </w:tcPr>
          <w:p w14:paraId="6858FD1E">
            <w:pPr>
              <w:pStyle w:val="180"/>
              <w:rPr>
                <w:color w:val="000000" w:themeColor="text1"/>
              </w:rPr>
            </w:pPr>
          </w:p>
        </w:tc>
        <w:tc>
          <w:tcPr>
            <w:tcW w:w="1535" w:type="dxa"/>
            <w:shd w:val="clear" w:color="auto" w:fill="auto"/>
            <w:vAlign w:val="center"/>
          </w:tcPr>
          <w:p w14:paraId="4DAFC5AB">
            <w:pPr>
              <w:pStyle w:val="180"/>
              <w:rPr>
                <w:color w:val="000000" w:themeColor="text1"/>
              </w:rPr>
            </w:pPr>
          </w:p>
        </w:tc>
        <w:tc>
          <w:tcPr>
            <w:tcW w:w="1535" w:type="dxa"/>
            <w:shd w:val="clear" w:color="auto" w:fill="auto"/>
            <w:vAlign w:val="center"/>
          </w:tcPr>
          <w:p w14:paraId="6911E985">
            <w:pPr>
              <w:pStyle w:val="180"/>
              <w:rPr>
                <w:color w:val="000000" w:themeColor="text1"/>
              </w:rPr>
            </w:pPr>
          </w:p>
        </w:tc>
        <w:tc>
          <w:tcPr>
            <w:tcW w:w="1535" w:type="dxa"/>
            <w:shd w:val="clear" w:color="auto" w:fill="auto"/>
            <w:vAlign w:val="center"/>
          </w:tcPr>
          <w:p w14:paraId="7FC28EF4">
            <w:pPr>
              <w:pStyle w:val="180"/>
              <w:rPr>
                <w:color w:val="000000" w:themeColor="text1"/>
              </w:rPr>
            </w:pPr>
          </w:p>
        </w:tc>
        <w:tc>
          <w:tcPr>
            <w:tcW w:w="1535" w:type="dxa"/>
            <w:shd w:val="clear" w:color="auto" w:fill="auto"/>
            <w:vAlign w:val="center"/>
          </w:tcPr>
          <w:p w14:paraId="4FEE8F0F">
            <w:pPr>
              <w:pStyle w:val="180"/>
              <w:rPr>
                <w:color w:val="000000" w:themeColor="text1"/>
              </w:rPr>
            </w:pPr>
          </w:p>
        </w:tc>
        <w:tc>
          <w:tcPr>
            <w:tcW w:w="1535" w:type="dxa"/>
            <w:shd w:val="clear" w:color="auto" w:fill="auto"/>
            <w:vAlign w:val="center"/>
          </w:tcPr>
          <w:p w14:paraId="776BCB61">
            <w:pPr>
              <w:pStyle w:val="180"/>
              <w:rPr>
                <w:color w:val="000000" w:themeColor="text1"/>
              </w:rPr>
            </w:pPr>
          </w:p>
        </w:tc>
        <w:tc>
          <w:tcPr>
            <w:tcW w:w="1535" w:type="dxa"/>
            <w:vMerge w:val="continue"/>
            <w:shd w:val="clear" w:color="auto" w:fill="auto"/>
            <w:vAlign w:val="center"/>
          </w:tcPr>
          <w:p w14:paraId="40A486AF">
            <w:pPr>
              <w:pStyle w:val="180"/>
              <w:rPr>
                <w:color w:val="000000" w:themeColor="text1"/>
              </w:rPr>
            </w:pPr>
          </w:p>
        </w:tc>
      </w:tr>
      <w:tr w14:paraId="7C2F9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3" w:type="dxa"/>
            <w:shd w:val="clear" w:color="auto" w:fill="auto"/>
            <w:vAlign w:val="center"/>
          </w:tcPr>
          <w:p w14:paraId="06ECEE5F">
            <w:pPr>
              <w:pStyle w:val="180"/>
              <w:rPr>
                <w:color w:val="000000" w:themeColor="text1"/>
              </w:rPr>
            </w:pPr>
          </w:p>
        </w:tc>
        <w:tc>
          <w:tcPr>
            <w:tcW w:w="1535" w:type="dxa"/>
            <w:shd w:val="clear" w:color="auto" w:fill="auto"/>
            <w:vAlign w:val="center"/>
          </w:tcPr>
          <w:p w14:paraId="6F44DEEB">
            <w:pPr>
              <w:pStyle w:val="180"/>
              <w:rPr>
                <w:color w:val="000000" w:themeColor="text1"/>
              </w:rPr>
            </w:pPr>
          </w:p>
        </w:tc>
        <w:tc>
          <w:tcPr>
            <w:tcW w:w="1535" w:type="dxa"/>
            <w:shd w:val="clear" w:color="auto" w:fill="auto"/>
            <w:vAlign w:val="center"/>
          </w:tcPr>
          <w:p w14:paraId="44E6EE44">
            <w:pPr>
              <w:pStyle w:val="180"/>
              <w:rPr>
                <w:color w:val="000000" w:themeColor="text1"/>
              </w:rPr>
            </w:pPr>
          </w:p>
        </w:tc>
        <w:tc>
          <w:tcPr>
            <w:tcW w:w="1535" w:type="dxa"/>
            <w:shd w:val="clear" w:color="auto" w:fill="auto"/>
            <w:vAlign w:val="center"/>
          </w:tcPr>
          <w:p w14:paraId="6A1CBB9F">
            <w:pPr>
              <w:pStyle w:val="180"/>
              <w:rPr>
                <w:color w:val="000000" w:themeColor="text1"/>
              </w:rPr>
            </w:pPr>
          </w:p>
        </w:tc>
        <w:tc>
          <w:tcPr>
            <w:tcW w:w="1535" w:type="dxa"/>
            <w:shd w:val="clear" w:color="auto" w:fill="auto"/>
            <w:vAlign w:val="center"/>
          </w:tcPr>
          <w:p w14:paraId="3A6BDDBA">
            <w:pPr>
              <w:pStyle w:val="180"/>
              <w:rPr>
                <w:color w:val="000000" w:themeColor="text1"/>
              </w:rPr>
            </w:pPr>
          </w:p>
        </w:tc>
        <w:tc>
          <w:tcPr>
            <w:tcW w:w="1535" w:type="dxa"/>
            <w:shd w:val="clear" w:color="auto" w:fill="auto"/>
            <w:vAlign w:val="center"/>
          </w:tcPr>
          <w:p w14:paraId="54FFE2AF">
            <w:pPr>
              <w:pStyle w:val="180"/>
              <w:rPr>
                <w:color w:val="000000" w:themeColor="text1"/>
              </w:rPr>
            </w:pPr>
          </w:p>
        </w:tc>
        <w:tc>
          <w:tcPr>
            <w:tcW w:w="1535" w:type="dxa"/>
            <w:shd w:val="clear" w:color="auto" w:fill="auto"/>
            <w:vAlign w:val="center"/>
          </w:tcPr>
          <w:p w14:paraId="5BA29442">
            <w:pPr>
              <w:pStyle w:val="180"/>
              <w:rPr>
                <w:color w:val="000000" w:themeColor="text1"/>
              </w:rPr>
            </w:pPr>
          </w:p>
        </w:tc>
        <w:tc>
          <w:tcPr>
            <w:tcW w:w="1535" w:type="dxa"/>
            <w:shd w:val="clear" w:color="auto" w:fill="auto"/>
            <w:vAlign w:val="center"/>
          </w:tcPr>
          <w:p w14:paraId="61817FE4">
            <w:pPr>
              <w:pStyle w:val="180"/>
              <w:rPr>
                <w:color w:val="000000" w:themeColor="text1"/>
              </w:rPr>
            </w:pPr>
          </w:p>
        </w:tc>
        <w:tc>
          <w:tcPr>
            <w:tcW w:w="1535" w:type="dxa"/>
            <w:vMerge w:val="continue"/>
            <w:shd w:val="clear" w:color="auto" w:fill="auto"/>
            <w:vAlign w:val="center"/>
          </w:tcPr>
          <w:p w14:paraId="5A8B35C2">
            <w:pPr>
              <w:pStyle w:val="180"/>
              <w:rPr>
                <w:color w:val="000000" w:themeColor="text1"/>
              </w:rPr>
            </w:pPr>
          </w:p>
        </w:tc>
      </w:tr>
      <w:tr w14:paraId="36F7D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3" w:type="dxa"/>
            <w:shd w:val="clear" w:color="auto" w:fill="auto"/>
            <w:vAlign w:val="center"/>
          </w:tcPr>
          <w:p w14:paraId="5489E556">
            <w:pPr>
              <w:pStyle w:val="180"/>
              <w:rPr>
                <w:color w:val="000000" w:themeColor="text1"/>
              </w:rPr>
            </w:pPr>
          </w:p>
        </w:tc>
        <w:tc>
          <w:tcPr>
            <w:tcW w:w="1535" w:type="dxa"/>
            <w:shd w:val="clear" w:color="auto" w:fill="auto"/>
            <w:vAlign w:val="center"/>
          </w:tcPr>
          <w:p w14:paraId="65140AAF">
            <w:pPr>
              <w:pStyle w:val="180"/>
              <w:rPr>
                <w:color w:val="000000" w:themeColor="text1"/>
              </w:rPr>
            </w:pPr>
          </w:p>
        </w:tc>
        <w:tc>
          <w:tcPr>
            <w:tcW w:w="1535" w:type="dxa"/>
            <w:shd w:val="clear" w:color="auto" w:fill="auto"/>
            <w:vAlign w:val="center"/>
          </w:tcPr>
          <w:p w14:paraId="4279C988">
            <w:pPr>
              <w:pStyle w:val="180"/>
              <w:rPr>
                <w:color w:val="000000" w:themeColor="text1"/>
              </w:rPr>
            </w:pPr>
          </w:p>
        </w:tc>
        <w:tc>
          <w:tcPr>
            <w:tcW w:w="1535" w:type="dxa"/>
            <w:shd w:val="clear" w:color="auto" w:fill="auto"/>
            <w:vAlign w:val="center"/>
          </w:tcPr>
          <w:p w14:paraId="6058E09C">
            <w:pPr>
              <w:pStyle w:val="180"/>
              <w:rPr>
                <w:color w:val="000000" w:themeColor="text1"/>
              </w:rPr>
            </w:pPr>
          </w:p>
        </w:tc>
        <w:tc>
          <w:tcPr>
            <w:tcW w:w="1535" w:type="dxa"/>
            <w:shd w:val="clear" w:color="auto" w:fill="auto"/>
            <w:vAlign w:val="center"/>
          </w:tcPr>
          <w:p w14:paraId="10381FAB">
            <w:pPr>
              <w:pStyle w:val="180"/>
              <w:rPr>
                <w:color w:val="000000" w:themeColor="text1"/>
              </w:rPr>
            </w:pPr>
          </w:p>
        </w:tc>
        <w:tc>
          <w:tcPr>
            <w:tcW w:w="1535" w:type="dxa"/>
            <w:shd w:val="clear" w:color="auto" w:fill="auto"/>
            <w:vAlign w:val="center"/>
          </w:tcPr>
          <w:p w14:paraId="0C78939E">
            <w:pPr>
              <w:pStyle w:val="180"/>
              <w:rPr>
                <w:color w:val="000000" w:themeColor="text1"/>
              </w:rPr>
            </w:pPr>
          </w:p>
        </w:tc>
        <w:tc>
          <w:tcPr>
            <w:tcW w:w="1535" w:type="dxa"/>
            <w:shd w:val="clear" w:color="auto" w:fill="auto"/>
            <w:vAlign w:val="center"/>
          </w:tcPr>
          <w:p w14:paraId="5306549F">
            <w:pPr>
              <w:pStyle w:val="180"/>
              <w:rPr>
                <w:color w:val="000000" w:themeColor="text1"/>
              </w:rPr>
            </w:pPr>
          </w:p>
        </w:tc>
        <w:tc>
          <w:tcPr>
            <w:tcW w:w="1535" w:type="dxa"/>
            <w:shd w:val="clear" w:color="auto" w:fill="auto"/>
            <w:vAlign w:val="center"/>
          </w:tcPr>
          <w:p w14:paraId="1D9CFDBD">
            <w:pPr>
              <w:pStyle w:val="180"/>
              <w:rPr>
                <w:color w:val="000000" w:themeColor="text1"/>
              </w:rPr>
            </w:pPr>
          </w:p>
        </w:tc>
        <w:tc>
          <w:tcPr>
            <w:tcW w:w="1535" w:type="dxa"/>
            <w:vMerge w:val="continue"/>
            <w:shd w:val="clear" w:color="auto" w:fill="auto"/>
            <w:vAlign w:val="center"/>
          </w:tcPr>
          <w:p w14:paraId="6038BD11">
            <w:pPr>
              <w:pStyle w:val="180"/>
              <w:rPr>
                <w:color w:val="000000" w:themeColor="text1"/>
              </w:rPr>
            </w:pPr>
          </w:p>
        </w:tc>
      </w:tr>
    </w:tbl>
    <w:p w14:paraId="69C007EF">
      <w:pPr>
        <w:pStyle w:val="58"/>
        <w:ind w:firstLine="420"/>
        <w:rPr>
          <w:color w:val="000000" w:themeColor="text1"/>
        </w:rPr>
      </w:pPr>
    </w:p>
    <w:p w14:paraId="31C3AD4C">
      <w:pPr>
        <w:pStyle w:val="58"/>
        <w:ind w:firstLine="420"/>
        <w:rPr>
          <w:color w:val="000000" w:themeColor="text1"/>
        </w:rPr>
      </w:pPr>
    </w:p>
    <w:p w14:paraId="5495AC28">
      <w:pPr>
        <w:pStyle w:val="58"/>
        <w:ind w:firstLine="420"/>
        <w:rPr>
          <w:color w:val="000000" w:themeColor="text1"/>
        </w:rPr>
      </w:pPr>
    </w:p>
    <w:p w14:paraId="2A404BD4">
      <w:pPr>
        <w:pStyle w:val="58"/>
        <w:ind w:firstLine="420"/>
        <w:rPr>
          <w:color w:val="000000" w:themeColor="text1"/>
        </w:rPr>
        <w:sectPr>
          <w:pgSz w:w="11906" w:h="16838"/>
          <w:pgMar w:top="1928" w:right="1134" w:bottom="1134" w:left="1134" w:header="1418" w:footer="1134" w:gutter="284"/>
          <w:cols w:space="425" w:num="1"/>
          <w:formProt w:val="0"/>
          <w:docGrid w:type="lines" w:linePitch="312" w:charSpace="0"/>
        </w:sectPr>
      </w:pPr>
    </w:p>
    <w:p w14:paraId="5D517334">
      <w:pPr>
        <w:pStyle w:val="200"/>
        <w:rPr>
          <w:vanish w:val="0"/>
          <w:color w:val="000000" w:themeColor="text1"/>
        </w:rPr>
      </w:pPr>
    </w:p>
    <w:p w14:paraId="051A5B88">
      <w:pPr>
        <w:pStyle w:val="201"/>
        <w:rPr>
          <w:vanish w:val="0"/>
          <w:color w:val="000000" w:themeColor="text1"/>
        </w:rPr>
      </w:pPr>
    </w:p>
    <w:p w14:paraId="54146A11">
      <w:pPr>
        <w:pStyle w:val="78"/>
        <w:spacing w:after="156"/>
        <w:rPr>
          <w:color w:val="000000" w:themeColor="text1"/>
        </w:rPr>
      </w:pPr>
      <w:r>
        <w:rPr>
          <w:color w:val="000000" w:themeColor="text1"/>
        </w:rPr>
        <w:br w:type="textWrapping"/>
      </w:r>
      <w:bookmarkStart w:id="158" w:name="_Toc185426299"/>
      <w:bookmarkStart w:id="159" w:name="_Toc185672283"/>
      <w:bookmarkStart w:id="160" w:name="_Toc182083002"/>
      <w:r>
        <w:rPr>
          <w:rFonts w:hint="eastAsia"/>
          <w:color w:val="000000" w:themeColor="text1"/>
        </w:rPr>
        <w:t>（资料性）</w:t>
      </w:r>
      <w:r>
        <w:rPr>
          <w:color w:val="000000" w:themeColor="text1"/>
        </w:rPr>
        <w:br w:type="textWrapping"/>
      </w:r>
      <w:r>
        <w:rPr>
          <w:rFonts w:hint="eastAsia"/>
          <w:color w:val="000000" w:themeColor="text1"/>
        </w:rPr>
        <w:t>隐患排查记录</w:t>
      </w:r>
      <w:bookmarkEnd w:id="158"/>
      <w:bookmarkEnd w:id="159"/>
      <w:bookmarkEnd w:id="160"/>
    </w:p>
    <w:p w14:paraId="294766D6">
      <w:pPr>
        <w:pStyle w:val="58"/>
        <w:ind w:firstLine="420"/>
        <w:rPr>
          <w:color w:val="000000" w:themeColor="text1"/>
        </w:rPr>
      </w:pPr>
    </w:p>
    <w:tbl>
      <w:tblPr>
        <w:tblStyle w:val="28"/>
        <w:tblW w:w="96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5"/>
        <w:gridCol w:w="615"/>
        <w:gridCol w:w="2321"/>
        <w:gridCol w:w="2136"/>
        <w:gridCol w:w="807"/>
        <w:gridCol w:w="760"/>
        <w:gridCol w:w="782"/>
        <w:gridCol w:w="1195"/>
        <w:gridCol w:w="437"/>
      </w:tblGrid>
      <w:tr w14:paraId="5B920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vMerge w:val="restart"/>
            <w:tcBorders>
              <w:top w:val="single" w:color="auto" w:sz="8" w:space="0"/>
            </w:tcBorders>
            <w:shd w:val="clear" w:color="auto" w:fill="auto"/>
            <w:vAlign w:val="center"/>
          </w:tcPr>
          <w:p w14:paraId="2F9169A9">
            <w:pPr>
              <w:jc w:val="center"/>
              <w:rPr>
                <w:rFonts w:hAnsi="宋体"/>
                <w:color w:val="000000" w:themeColor="text1"/>
                <w:sz w:val="18"/>
                <w:szCs w:val="18"/>
              </w:rPr>
            </w:pPr>
            <w:r>
              <w:rPr>
                <w:rFonts w:hAnsi="宋体"/>
                <w:color w:val="000000" w:themeColor="text1"/>
                <w:sz w:val="18"/>
                <w:szCs w:val="18"/>
              </w:rPr>
              <w:t>序号</w:t>
            </w:r>
          </w:p>
        </w:tc>
        <w:tc>
          <w:tcPr>
            <w:tcW w:w="615" w:type="dxa"/>
            <w:vMerge w:val="restart"/>
            <w:tcBorders>
              <w:top w:val="single" w:color="auto" w:sz="8" w:space="0"/>
            </w:tcBorders>
            <w:shd w:val="clear" w:color="auto" w:fill="auto"/>
            <w:vAlign w:val="center"/>
          </w:tcPr>
          <w:p w14:paraId="76B1F1C8">
            <w:pPr>
              <w:jc w:val="center"/>
              <w:rPr>
                <w:rFonts w:hAnsi="宋体"/>
                <w:color w:val="000000" w:themeColor="text1"/>
                <w:sz w:val="18"/>
                <w:szCs w:val="18"/>
              </w:rPr>
            </w:pPr>
            <w:r>
              <w:rPr>
                <w:rFonts w:hAnsi="宋体"/>
                <w:color w:val="000000" w:themeColor="text1"/>
                <w:sz w:val="18"/>
                <w:szCs w:val="18"/>
              </w:rPr>
              <w:t>位置</w:t>
            </w:r>
          </w:p>
        </w:tc>
        <w:tc>
          <w:tcPr>
            <w:tcW w:w="2321" w:type="dxa"/>
            <w:vMerge w:val="restart"/>
            <w:tcBorders>
              <w:top w:val="single" w:color="auto" w:sz="8" w:space="0"/>
            </w:tcBorders>
            <w:vAlign w:val="center"/>
          </w:tcPr>
          <w:p w14:paraId="599572B8">
            <w:pPr>
              <w:jc w:val="center"/>
              <w:rPr>
                <w:rFonts w:hAnsi="宋体"/>
                <w:color w:val="000000" w:themeColor="text1"/>
                <w:sz w:val="18"/>
                <w:szCs w:val="18"/>
              </w:rPr>
            </w:pPr>
            <w:r>
              <w:rPr>
                <w:rFonts w:hint="eastAsia" w:hAnsi="宋体"/>
                <w:color w:val="000000" w:themeColor="text1"/>
                <w:sz w:val="18"/>
                <w:szCs w:val="18"/>
              </w:rPr>
              <w:t>隐患</w:t>
            </w:r>
            <w:r>
              <w:rPr>
                <w:rFonts w:hAnsi="宋体"/>
                <w:color w:val="000000" w:themeColor="text1"/>
                <w:sz w:val="18"/>
                <w:szCs w:val="18"/>
              </w:rPr>
              <w:t>排查内容</w:t>
            </w:r>
          </w:p>
        </w:tc>
        <w:tc>
          <w:tcPr>
            <w:tcW w:w="2136" w:type="dxa"/>
            <w:vMerge w:val="restart"/>
            <w:tcBorders>
              <w:top w:val="single" w:color="auto" w:sz="8" w:space="0"/>
            </w:tcBorders>
            <w:shd w:val="clear" w:color="auto" w:fill="auto"/>
            <w:vAlign w:val="center"/>
          </w:tcPr>
          <w:p w14:paraId="4048D9A5">
            <w:pPr>
              <w:jc w:val="center"/>
              <w:rPr>
                <w:rFonts w:hAnsi="宋体"/>
                <w:color w:val="000000" w:themeColor="text1"/>
                <w:sz w:val="18"/>
                <w:szCs w:val="18"/>
              </w:rPr>
            </w:pPr>
            <w:r>
              <w:rPr>
                <w:rFonts w:hint="eastAsia" w:hAnsi="宋体"/>
                <w:color w:val="000000" w:themeColor="text1"/>
                <w:sz w:val="18"/>
                <w:szCs w:val="18"/>
              </w:rPr>
              <w:t>整改措施</w:t>
            </w:r>
          </w:p>
        </w:tc>
        <w:tc>
          <w:tcPr>
            <w:tcW w:w="807" w:type="dxa"/>
            <w:vMerge w:val="restart"/>
            <w:tcBorders>
              <w:top w:val="single" w:color="auto" w:sz="8" w:space="0"/>
            </w:tcBorders>
            <w:shd w:val="clear" w:color="auto" w:fill="auto"/>
            <w:vAlign w:val="center"/>
          </w:tcPr>
          <w:p w14:paraId="193B8901">
            <w:pPr>
              <w:jc w:val="center"/>
              <w:rPr>
                <w:rFonts w:hAnsi="宋体"/>
                <w:color w:val="000000" w:themeColor="text1"/>
                <w:sz w:val="18"/>
                <w:szCs w:val="18"/>
              </w:rPr>
            </w:pPr>
            <w:r>
              <w:rPr>
                <w:rFonts w:hint="eastAsia" w:hAnsi="宋体"/>
                <w:color w:val="000000" w:themeColor="text1"/>
                <w:sz w:val="18"/>
                <w:szCs w:val="18"/>
              </w:rPr>
              <w:t>管控层级</w:t>
            </w:r>
          </w:p>
        </w:tc>
        <w:tc>
          <w:tcPr>
            <w:tcW w:w="2737" w:type="dxa"/>
            <w:gridSpan w:val="3"/>
            <w:tcBorders>
              <w:top w:val="single" w:color="auto" w:sz="8" w:space="0"/>
              <w:bottom w:val="single" w:color="auto" w:sz="8" w:space="0"/>
            </w:tcBorders>
            <w:shd w:val="clear" w:color="auto" w:fill="auto"/>
            <w:vAlign w:val="center"/>
          </w:tcPr>
          <w:p w14:paraId="6ACA842D">
            <w:pPr>
              <w:jc w:val="center"/>
              <w:rPr>
                <w:rFonts w:hAnsi="宋体"/>
                <w:color w:val="000000" w:themeColor="text1"/>
                <w:sz w:val="18"/>
                <w:szCs w:val="18"/>
              </w:rPr>
            </w:pPr>
            <w:r>
              <w:rPr>
                <w:rFonts w:hAnsi="宋体"/>
                <w:color w:val="000000" w:themeColor="text1"/>
                <w:sz w:val="18"/>
                <w:szCs w:val="18"/>
              </w:rPr>
              <w:t>排查方式与频次</w:t>
            </w:r>
          </w:p>
        </w:tc>
        <w:tc>
          <w:tcPr>
            <w:tcW w:w="437" w:type="dxa"/>
            <w:vMerge w:val="restart"/>
            <w:tcBorders>
              <w:top w:val="single" w:color="auto" w:sz="8" w:space="0"/>
            </w:tcBorders>
            <w:shd w:val="clear" w:color="auto" w:fill="auto"/>
            <w:vAlign w:val="center"/>
          </w:tcPr>
          <w:p w14:paraId="6E7BF290">
            <w:pPr>
              <w:jc w:val="center"/>
              <w:rPr>
                <w:rFonts w:hAnsi="宋体"/>
                <w:color w:val="000000" w:themeColor="text1"/>
                <w:sz w:val="18"/>
                <w:szCs w:val="18"/>
              </w:rPr>
            </w:pPr>
            <w:r>
              <w:rPr>
                <w:rFonts w:hAnsi="宋体"/>
                <w:color w:val="000000" w:themeColor="text1"/>
                <w:sz w:val="18"/>
                <w:szCs w:val="18"/>
              </w:rPr>
              <w:t>备注</w:t>
            </w:r>
          </w:p>
        </w:tc>
      </w:tr>
      <w:tr w14:paraId="1665E9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vMerge w:val="continue"/>
            <w:shd w:val="clear" w:color="auto" w:fill="auto"/>
            <w:vAlign w:val="center"/>
          </w:tcPr>
          <w:p w14:paraId="257116D0">
            <w:pPr>
              <w:pStyle w:val="179"/>
              <w:spacing w:before="62"/>
              <w:rPr>
                <w:color w:val="000000" w:themeColor="text1"/>
              </w:rPr>
            </w:pPr>
          </w:p>
        </w:tc>
        <w:tc>
          <w:tcPr>
            <w:tcW w:w="615" w:type="dxa"/>
            <w:vMerge w:val="continue"/>
            <w:shd w:val="clear" w:color="auto" w:fill="auto"/>
            <w:vAlign w:val="center"/>
          </w:tcPr>
          <w:p w14:paraId="232B5ECE">
            <w:pPr>
              <w:pStyle w:val="179"/>
              <w:spacing w:before="62"/>
              <w:rPr>
                <w:color w:val="000000" w:themeColor="text1"/>
              </w:rPr>
            </w:pPr>
          </w:p>
        </w:tc>
        <w:tc>
          <w:tcPr>
            <w:tcW w:w="2321" w:type="dxa"/>
            <w:vMerge w:val="continue"/>
          </w:tcPr>
          <w:p w14:paraId="4AED5BEE">
            <w:pPr>
              <w:pStyle w:val="179"/>
              <w:spacing w:before="62"/>
              <w:rPr>
                <w:color w:val="000000" w:themeColor="text1"/>
              </w:rPr>
            </w:pPr>
          </w:p>
        </w:tc>
        <w:tc>
          <w:tcPr>
            <w:tcW w:w="2136" w:type="dxa"/>
            <w:vMerge w:val="continue"/>
            <w:shd w:val="clear" w:color="auto" w:fill="auto"/>
            <w:vAlign w:val="center"/>
          </w:tcPr>
          <w:p w14:paraId="698EDFCA">
            <w:pPr>
              <w:pStyle w:val="179"/>
              <w:spacing w:before="62"/>
              <w:rPr>
                <w:color w:val="000000" w:themeColor="text1"/>
              </w:rPr>
            </w:pPr>
          </w:p>
        </w:tc>
        <w:tc>
          <w:tcPr>
            <w:tcW w:w="807" w:type="dxa"/>
            <w:vMerge w:val="continue"/>
            <w:shd w:val="clear" w:color="auto" w:fill="auto"/>
            <w:vAlign w:val="center"/>
          </w:tcPr>
          <w:p w14:paraId="5FBF9BA2">
            <w:pPr>
              <w:pStyle w:val="179"/>
              <w:spacing w:before="62"/>
              <w:rPr>
                <w:color w:val="000000" w:themeColor="text1"/>
              </w:rPr>
            </w:pPr>
          </w:p>
        </w:tc>
        <w:tc>
          <w:tcPr>
            <w:tcW w:w="760" w:type="dxa"/>
            <w:tcBorders>
              <w:top w:val="single" w:color="auto" w:sz="8" w:space="0"/>
            </w:tcBorders>
            <w:shd w:val="clear" w:color="auto" w:fill="auto"/>
            <w:vAlign w:val="center"/>
          </w:tcPr>
          <w:p w14:paraId="2CB7E624">
            <w:pPr>
              <w:jc w:val="center"/>
              <w:rPr>
                <w:rFonts w:hAnsi="宋体"/>
                <w:color w:val="000000" w:themeColor="text1"/>
                <w:sz w:val="18"/>
                <w:szCs w:val="18"/>
              </w:rPr>
            </w:pPr>
            <w:r>
              <w:rPr>
                <w:rFonts w:hint="eastAsia" w:hAnsi="宋体"/>
                <w:color w:val="000000" w:themeColor="text1"/>
                <w:sz w:val="18"/>
                <w:szCs w:val="18"/>
              </w:rPr>
              <w:t>日常排查</w:t>
            </w:r>
          </w:p>
        </w:tc>
        <w:tc>
          <w:tcPr>
            <w:tcW w:w="782" w:type="dxa"/>
            <w:tcBorders>
              <w:top w:val="single" w:color="auto" w:sz="8" w:space="0"/>
            </w:tcBorders>
            <w:shd w:val="clear" w:color="auto" w:fill="auto"/>
            <w:vAlign w:val="center"/>
          </w:tcPr>
          <w:p w14:paraId="558F9706">
            <w:pPr>
              <w:jc w:val="center"/>
              <w:rPr>
                <w:rFonts w:hAnsi="宋体"/>
                <w:color w:val="000000" w:themeColor="text1"/>
                <w:sz w:val="18"/>
                <w:szCs w:val="18"/>
              </w:rPr>
            </w:pPr>
            <w:r>
              <w:rPr>
                <w:rFonts w:hint="eastAsia" w:hAnsi="宋体"/>
                <w:color w:val="000000" w:themeColor="text1"/>
                <w:sz w:val="18"/>
                <w:szCs w:val="18"/>
              </w:rPr>
              <w:t>专项排查</w:t>
            </w:r>
          </w:p>
        </w:tc>
        <w:tc>
          <w:tcPr>
            <w:tcW w:w="1195" w:type="dxa"/>
            <w:tcBorders>
              <w:top w:val="single" w:color="auto" w:sz="8" w:space="0"/>
            </w:tcBorders>
            <w:shd w:val="clear" w:color="auto" w:fill="auto"/>
            <w:vAlign w:val="center"/>
          </w:tcPr>
          <w:p w14:paraId="40D4DF28">
            <w:pPr>
              <w:jc w:val="center"/>
              <w:rPr>
                <w:rFonts w:hAnsi="宋体"/>
                <w:color w:val="000000" w:themeColor="text1"/>
                <w:sz w:val="18"/>
                <w:szCs w:val="18"/>
              </w:rPr>
            </w:pPr>
            <w:r>
              <w:rPr>
                <w:rFonts w:hint="eastAsia" w:hAnsi="宋体"/>
                <w:color w:val="000000" w:themeColor="text1"/>
                <w:sz w:val="18"/>
                <w:szCs w:val="18"/>
              </w:rPr>
              <w:t>年度检查</w:t>
            </w:r>
          </w:p>
        </w:tc>
        <w:tc>
          <w:tcPr>
            <w:tcW w:w="437" w:type="dxa"/>
            <w:vMerge w:val="continue"/>
            <w:shd w:val="clear" w:color="auto" w:fill="auto"/>
            <w:vAlign w:val="center"/>
          </w:tcPr>
          <w:p w14:paraId="78BC9A64">
            <w:pPr>
              <w:pStyle w:val="179"/>
              <w:spacing w:before="62"/>
              <w:rPr>
                <w:color w:val="000000" w:themeColor="text1"/>
              </w:rPr>
            </w:pPr>
          </w:p>
        </w:tc>
      </w:tr>
      <w:tr w14:paraId="1FAEF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92" w:hRule="atLeast"/>
          <w:tblHeader/>
          <w:jc w:val="center"/>
        </w:trPr>
        <w:tc>
          <w:tcPr>
            <w:tcW w:w="555" w:type="dxa"/>
            <w:vMerge w:val="continue"/>
            <w:shd w:val="clear" w:color="auto" w:fill="auto"/>
            <w:vAlign w:val="center"/>
          </w:tcPr>
          <w:p w14:paraId="7AD71529">
            <w:pPr>
              <w:pStyle w:val="179"/>
              <w:spacing w:before="62"/>
              <w:rPr>
                <w:color w:val="000000" w:themeColor="text1"/>
              </w:rPr>
            </w:pPr>
          </w:p>
        </w:tc>
        <w:tc>
          <w:tcPr>
            <w:tcW w:w="615" w:type="dxa"/>
            <w:vMerge w:val="continue"/>
            <w:shd w:val="clear" w:color="auto" w:fill="auto"/>
            <w:vAlign w:val="center"/>
          </w:tcPr>
          <w:p w14:paraId="2C698ADC">
            <w:pPr>
              <w:pStyle w:val="179"/>
              <w:spacing w:before="62"/>
              <w:rPr>
                <w:color w:val="000000" w:themeColor="text1"/>
              </w:rPr>
            </w:pPr>
          </w:p>
        </w:tc>
        <w:tc>
          <w:tcPr>
            <w:tcW w:w="2321" w:type="dxa"/>
            <w:vMerge w:val="continue"/>
          </w:tcPr>
          <w:p w14:paraId="27C416CD">
            <w:pPr>
              <w:pStyle w:val="179"/>
              <w:spacing w:before="62"/>
              <w:rPr>
                <w:color w:val="000000" w:themeColor="text1"/>
              </w:rPr>
            </w:pPr>
          </w:p>
        </w:tc>
        <w:tc>
          <w:tcPr>
            <w:tcW w:w="2136" w:type="dxa"/>
            <w:vMerge w:val="continue"/>
            <w:shd w:val="clear" w:color="auto" w:fill="auto"/>
            <w:vAlign w:val="center"/>
          </w:tcPr>
          <w:p w14:paraId="5DC2A5E2">
            <w:pPr>
              <w:pStyle w:val="179"/>
              <w:spacing w:before="62"/>
              <w:rPr>
                <w:color w:val="000000" w:themeColor="text1"/>
              </w:rPr>
            </w:pPr>
          </w:p>
        </w:tc>
        <w:tc>
          <w:tcPr>
            <w:tcW w:w="807" w:type="dxa"/>
            <w:vMerge w:val="continue"/>
            <w:shd w:val="clear" w:color="auto" w:fill="auto"/>
            <w:vAlign w:val="center"/>
          </w:tcPr>
          <w:p w14:paraId="595060B3">
            <w:pPr>
              <w:pStyle w:val="179"/>
              <w:spacing w:before="62"/>
              <w:rPr>
                <w:color w:val="000000" w:themeColor="text1"/>
              </w:rPr>
            </w:pPr>
          </w:p>
        </w:tc>
        <w:tc>
          <w:tcPr>
            <w:tcW w:w="760" w:type="dxa"/>
            <w:shd w:val="clear" w:color="auto" w:fill="auto"/>
            <w:vAlign w:val="center"/>
          </w:tcPr>
          <w:p w14:paraId="6D566E63">
            <w:pPr>
              <w:jc w:val="center"/>
              <w:rPr>
                <w:rFonts w:hAnsi="宋体"/>
                <w:color w:val="000000" w:themeColor="text1"/>
                <w:sz w:val="18"/>
                <w:szCs w:val="18"/>
              </w:rPr>
            </w:pPr>
            <w:r>
              <w:rPr>
                <w:rFonts w:hint="eastAsia" w:hAnsi="宋体"/>
                <w:color w:val="000000" w:themeColor="text1"/>
                <w:sz w:val="18"/>
                <w:szCs w:val="18"/>
                <w:lang w:val="en-US" w:eastAsia="zh-CN"/>
              </w:rPr>
              <w:t>塔机</w:t>
            </w:r>
            <w:r>
              <w:rPr>
                <w:rFonts w:hint="eastAsia" w:hAnsi="宋体"/>
                <w:color w:val="000000" w:themeColor="text1"/>
                <w:sz w:val="18"/>
                <w:szCs w:val="18"/>
              </w:rPr>
              <w:t>安全员/每日或每班次</w:t>
            </w:r>
          </w:p>
        </w:tc>
        <w:tc>
          <w:tcPr>
            <w:tcW w:w="782" w:type="dxa"/>
            <w:shd w:val="clear" w:color="auto" w:fill="auto"/>
            <w:vAlign w:val="center"/>
          </w:tcPr>
          <w:p w14:paraId="43792910">
            <w:pPr>
              <w:jc w:val="center"/>
              <w:rPr>
                <w:rFonts w:hAnsi="宋体"/>
                <w:color w:val="000000" w:themeColor="text1"/>
                <w:sz w:val="18"/>
                <w:szCs w:val="18"/>
              </w:rPr>
            </w:pPr>
            <w:r>
              <w:rPr>
                <w:rFonts w:hint="eastAsia" w:hAnsi="宋体"/>
                <w:color w:val="000000" w:themeColor="text1"/>
                <w:sz w:val="18"/>
                <w:szCs w:val="18"/>
                <w:lang w:val="en-US" w:eastAsia="zh-CN"/>
              </w:rPr>
              <w:t>塔机</w:t>
            </w:r>
            <w:r>
              <w:rPr>
                <w:rFonts w:hint="eastAsia" w:hAnsi="宋体"/>
                <w:color w:val="000000" w:themeColor="text1"/>
                <w:sz w:val="18"/>
                <w:szCs w:val="18"/>
              </w:rPr>
              <w:t>安全员/每月和随机</w:t>
            </w:r>
          </w:p>
        </w:tc>
        <w:tc>
          <w:tcPr>
            <w:tcW w:w="1195" w:type="dxa"/>
            <w:shd w:val="clear" w:color="auto" w:fill="auto"/>
            <w:vAlign w:val="center"/>
          </w:tcPr>
          <w:p w14:paraId="3B958377">
            <w:pPr>
              <w:jc w:val="center"/>
              <w:rPr>
                <w:rFonts w:hAnsi="宋体"/>
                <w:color w:val="000000" w:themeColor="text1"/>
                <w:sz w:val="18"/>
                <w:szCs w:val="18"/>
              </w:rPr>
            </w:pPr>
            <w:r>
              <w:rPr>
                <w:rFonts w:hint="eastAsia" w:hAnsi="宋体"/>
                <w:color w:val="000000" w:themeColor="text1"/>
                <w:sz w:val="18"/>
                <w:szCs w:val="18"/>
              </w:rPr>
              <w:t>专职安全员、</w:t>
            </w:r>
            <w:r>
              <w:rPr>
                <w:rFonts w:hint="eastAsia" w:hAnsi="宋体"/>
                <w:color w:val="000000" w:themeColor="text1"/>
                <w:sz w:val="18"/>
                <w:szCs w:val="18"/>
                <w:lang w:val="en-US" w:eastAsia="zh-CN"/>
              </w:rPr>
              <w:t>塔机</w:t>
            </w:r>
            <w:r>
              <w:rPr>
                <w:rFonts w:hint="eastAsia" w:hAnsi="宋体"/>
                <w:color w:val="000000" w:themeColor="text1"/>
                <w:sz w:val="18"/>
                <w:szCs w:val="18"/>
              </w:rPr>
              <w:t>安全总监/每年和随机</w:t>
            </w:r>
          </w:p>
        </w:tc>
        <w:tc>
          <w:tcPr>
            <w:tcW w:w="437" w:type="dxa"/>
            <w:vMerge w:val="continue"/>
            <w:shd w:val="clear" w:color="auto" w:fill="auto"/>
            <w:vAlign w:val="center"/>
          </w:tcPr>
          <w:p w14:paraId="089A0C81">
            <w:pPr>
              <w:pStyle w:val="179"/>
              <w:spacing w:before="62"/>
              <w:rPr>
                <w:color w:val="000000" w:themeColor="text1"/>
              </w:rPr>
            </w:pPr>
          </w:p>
        </w:tc>
      </w:tr>
      <w:tr w14:paraId="6865D3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shd w:val="clear" w:color="auto" w:fill="auto"/>
            <w:vAlign w:val="center"/>
          </w:tcPr>
          <w:p w14:paraId="4DD0A53A">
            <w:pPr>
              <w:jc w:val="center"/>
              <w:rPr>
                <w:rFonts w:hAnsi="宋体"/>
                <w:color w:val="000000" w:themeColor="text1"/>
                <w:sz w:val="18"/>
                <w:szCs w:val="18"/>
              </w:rPr>
            </w:pPr>
          </w:p>
        </w:tc>
        <w:tc>
          <w:tcPr>
            <w:tcW w:w="615" w:type="dxa"/>
            <w:shd w:val="clear" w:color="auto" w:fill="auto"/>
            <w:vAlign w:val="center"/>
          </w:tcPr>
          <w:p w14:paraId="1B4150BA">
            <w:pPr>
              <w:jc w:val="center"/>
              <w:rPr>
                <w:rFonts w:hAnsi="宋体"/>
                <w:color w:val="000000" w:themeColor="text1"/>
                <w:sz w:val="18"/>
                <w:szCs w:val="18"/>
              </w:rPr>
            </w:pPr>
          </w:p>
        </w:tc>
        <w:tc>
          <w:tcPr>
            <w:tcW w:w="2321" w:type="dxa"/>
            <w:vAlign w:val="center"/>
          </w:tcPr>
          <w:p w14:paraId="384408C9">
            <w:pPr>
              <w:widowControl/>
              <w:adjustRightInd/>
              <w:spacing w:line="240" w:lineRule="auto"/>
              <w:rPr>
                <w:rFonts w:ascii="宋体" w:hAnsi="宋体" w:cs="宋体"/>
                <w:color w:val="000000" w:themeColor="text1"/>
                <w:kern w:val="0"/>
                <w:sz w:val="18"/>
                <w:szCs w:val="18"/>
              </w:rPr>
            </w:pPr>
          </w:p>
        </w:tc>
        <w:tc>
          <w:tcPr>
            <w:tcW w:w="2136" w:type="dxa"/>
            <w:shd w:val="clear" w:color="auto" w:fill="auto"/>
            <w:vAlign w:val="center"/>
          </w:tcPr>
          <w:p w14:paraId="67B1D205">
            <w:pPr>
              <w:widowControl/>
              <w:adjustRightInd/>
              <w:spacing w:line="240" w:lineRule="auto"/>
              <w:jc w:val="left"/>
              <w:rPr>
                <w:rFonts w:ascii="宋体" w:hAnsi="宋体" w:cs="宋体"/>
                <w:color w:val="000000" w:themeColor="text1"/>
                <w:kern w:val="0"/>
                <w:sz w:val="18"/>
                <w:szCs w:val="18"/>
              </w:rPr>
            </w:pPr>
          </w:p>
        </w:tc>
        <w:tc>
          <w:tcPr>
            <w:tcW w:w="807" w:type="dxa"/>
            <w:shd w:val="clear" w:color="auto" w:fill="auto"/>
            <w:vAlign w:val="center"/>
          </w:tcPr>
          <w:p w14:paraId="4F4640C5">
            <w:pPr>
              <w:widowControl/>
              <w:adjustRightInd/>
              <w:spacing w:line="240" w:lineRule="auto"/>
              <w:jc w:val="center"/>
              <w:rPr>
                <w:rFonts w:ascii="宋体" w:hAnsi="宋体" w:cs="宋体"/>
                <w:color w:val="000000" w:themeColor="text1"/>
                <w:kern w:val="0"/>
                <w:sz w:val="18"/>
                <w:szCs w:val="18"/>
              </w:rPr>
            </w:pPr>
          </w:p>
        </w:tc>
        <w:tc>
          <w:tcPr>
            <w:tcW w:w="760" w:type="dxa"/>
            <w:shd w:val="clear" w:color="auto" w:fill="auto"/>
            <w:vAlign w:val="center"/>
          </w:tcPr>
          <w:p w14:paraId="59FDCC26">
            <w:pPr>
              <w:widowControl/>
              <w:adjustRightInd/>
              <w:spacing w:line="240" w:lineRule="auto"/>
              <w:jc w:val="center"/>
              <w:rPr>
                <w:rFonts w:ascii="宋体" w:hAnsi="宋体" w:cs="宋体"/>
                <w:color w:val="000000" w:themeColor="text1"/>
                <w:kern w:val="0"/>
                <w:sz w:val="18"/>
                <w:szCs w:val="18"/>
              </w:rPr>
            </w:pPr>
          </w:p>
        </w:tc>
        <w:tc>
          <w:tcPr>
            <w:tcW w:w="782" w:type="dxa"/>
            <w:shd w:val="clear" w:color="auto" w:fill="auto"/>
            <w:vAlign w:val="center"/>
          </w:tcPr>
          <w:p w14:paraId="167BDF3C">
            <w:pPr>
              <w:widowControl/>
              <w:adjustRightInd/>
              <w:spacing w:line="240" w:lineRule="auto"/>
              <w:jc w:val="center"/>
              <w:rPr>
                <w:rFonts w:ascii="宋体" w:hAnsi="宋体" w:cs="宋体"/>
                <w:color w:val="000000" w:themeColor="text1"/>
                <w:kern w:val="0"/>
                <w:sz w:val="18"/>
                <w:szCs w:val="18"/>
              </w:rPr>
            </w:pPr>
          </w:p>
        </w:tc>
        <w:tc>
          <w:tcPr>
            <w:tcW w:w="1195" w:type="dxa"/>
            <w:shd w:val="clear" w:color="auto" w:fill="auto"/>
            <w:vAlign w:val="center"/>
          </w:tcPr>
          <w:p w14:paraId="59DFA763">
            <w:pPr>
              <w:widowControl/>
              <w:adjustRightInd/>
              <w:spacing w:line="240" w:lineRule="auto"/>
              <w:jc w:val="center"/>
              <w:rPr>
                <w:rFonts w:ascii="宋体" w:hAnsi="宋体" w:cs="宋体"/>
                <w:color w:val="000000" w:themeColor="text1"/>
                <w:kern w:val="0"/>
                <w:sz w:val="18"/>
                <w:szCs w:val="18"/>
              </w:rPr>
            </w:pPr>
          </w:p>
        </w:tc>
        <w:tc>
          <w:tcPr>
            <w:tcW w:w="437" w:type="dxa"/>
            <w:shd w:val="clear" w:color="auto" w:fill="auto"/>
            <w:vAlign w:val="center"/>
          </w:tcPr>
          <w:p w14:paraId="79DFCBB1">
            <w:pPr>
              <w:pStyle w:val="179"/>
              <w:spacing w:before="62"/>
              <w:rPr>
                <w:color w:val="000000" w:themeColor="text1"/>
              </w:rPr>
            </w:pPr>
          </w:p>
        </w:tc>
      </w:tr>
      <w:tr w14:paraId="7DC39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shd w:val="clear" w:color="auto" w:fill="auto"/>
            <w:vAlign w:val="center"/>
          </w:tcPr>
          <w:p w14:paraId="370610B6">
            <w:pPr>
              <w:jc w:val="center"/>
              <w:rPr>
                <w:rFonts w:hAnsi="宋体"/>
                <w:color w:val="000000" w:themeColor="text1"/>
                <w:sz w:val="18"/>
                <w:szCs w:val="18"/>
              </w:rPr>
            </w:pPr>
          </w:p>
        </w:tc>
        <w:tc>
          <w:tcPr>
            <w:tcW w:w="615" w:type="dxa"/>
            <w:shd w:val="clear" w:color="auto" w:fill="auto"/>
            <w:vAlign w:val="center"/>
          </w:tcPr>
          <w:p w14:paraId="5D0F0A4C">
            <w:pPr>
              <w:jc w:val="center"/>
              <w:rPr>
                <w:rFonts w:hAnsi="宋体"/>
                <w:color w:val="000000" w:themeColor="text1"/>
                <w:sz w:val="18"/>
                <w:szCs w:val="18"/>
              </w:rPr>
            </w:pPr>
          </w:p>
        </w:tc>
        <w:tc>
          <w:tcPr>
            <w:tcW w:w="2321" w:type="dxa"/>
            <w:vAlign w:val="center"/>
          </w:tcPr>
          <w:p w14:paraId="16D53E57">
            <w:pPr>
              <w:widowControl/>
              <w:adjustRightInd/>
              <w:spacing w:line="240" w:lineRule="auto"/>
              <w:rPr>
                <w:rFonts w:ascii="宋体" w:hAnsi="宋体" w:cs="宋体"/>
                <w:color w:val="000000" w:themeColor="text1"/>
                <w:kern w:val="0"/>
                <w:sz w:val="18"/>
                <w:szCs w:val="18"/>
              </w:rPr>
            </w:pPr>
          </w:p>
        </w:tc>
        <w:tc>
          <w:tcPr>
            <w:tcW w:w="2136" w:type="dxa"/>
            <w:shd w:val="clear" w:color="auto" w:fill="auto"/>
            <w:vAlign w:val="center"/>
          </w:tcPr>
          <w:p w14:paraId="6CB12BA7">
            <w:pPr>
              <w:widowControl/>
              <w:adjustRightInd/>
              <w:spacing w:line="240" w:lineRule="auto"/>
              <w:jc w:val="left"/>
              <w:rPr>
                <w:rFonts w:ascii="宋体" w:hAnsi="宋体" w:cs="宋体"/>
                <w:color w:val="000000" w:themeColor="text1"/>
                <w:kern w:val="0"/>
                <w:sz w:val="18"/>
                <w:szCs w:val="18"/>
              </w:rPr>
            </w:pPr>
          </w:p>
        </w:tc>
        <w:tc>
          <w:tcPr>
            <w:tcW w:w="807" w:type="dxa"/>
            <w:shd w:val="clear" w:color="auto" w:fill="auto"/>
            <w:vAlign w:val="center"/>
          </w:tcPr>
          <w:p w14:paraId="2DD3731B">
            <w:pPr>
              <w:widowControl/>
              <w:adjustRightInd/>
              <w:spacing w:line="240" w:lineRule="auto"/>
              <w:jc w:val="center"/>
              <w:rPr>
                <w:rFonts w:ascii="宋体" w:hAnsi="宋体" w:cs="宋体"/>
                <w:color w:val="000000" w:themeColor="text1"/>
                <w:kern w:val="0"/>
                <w:sz w:val="18"/>
                <w:szCs w:val="18"/>
              </w:rPr>
            </w:pPr>
          </w:p>
        </w:tc>
        <w:tc>
          <w:tcPr>
            <w:tcW w:w="760" w:type="dxa"/>
            <w:shd w:val="clear" w:color="auto" w:fill="auto"/>
            <w:vAlign w:val="center"/>
          </w:tcPr>
          <w:p w14:paraId="2ADE6DB6">
            <w:pPr>
              <w:widowControl/>
              <w:adjustRightInd/>
              <w:spacing w:line="240" w:lineRule="auto"/>
              <w:jc w:val="center"/>
              <w:rPr>
                <w:rFonts w:ascii="宋体" w:hAnsi="宋体" w:cs="宋体"/>
                <w:color w:val="000000" w:themeColor="text1"/>
                <w:kern w:val="0"/>
                <w:sz w:val="18"/>
                <w:szCs w:val="18"/>
              </w:rPr>
            </w:pPr>
          </w:p>
        </w:tc>
        <w:tc>
          <w:tcPr>
            <w:tcW w:w="782" w:type="dxa"/>
            <w:shd w:val="clear" w:color="auto" w:fill="auto"/>
            <w:vAlign w:val="center"/>
          </w:tcPr>
          <w:p w14:paraId="3E7CD792">
            <w:pPr>
              <w:widowControl/>
              <w:adjustRightInd/>
              <w:spacing w:line="240" w:lineRule="auto"/>
              <w:jc w:val="center"/>
              <w:rPr>
                <w:rFonts w:ascii="宋体" w:hAnsi="宋体" w:cs="宋体"/>
                <w:color w:val="000000" w:themeColor="text1"/>
                <w:kern w:val="0"/>
                <w:sz w:val="18"/>
                <w:szCs w:val="18"/>
              </w:rPr>
            </w:pPr>
          </w:p>
        </w:tc>
        <w:tc>
          <w:tcPr>
            <w:tcW w:w="1195" w:type="dxa"/>
            <w:shd w:val="clear" w:color="auto" w:fill="auto"/>
            <w:vAlign w:val="center"/>
          </w:tcPr>
          <w:p w14:paraId="6EEEFAEA">
            <w:pPr>
              <w:widowControl/>
              <w:adjustRightInd/>
              <w:spacing w:line="240" w:lineRule="auto"/>
              <w:jc w:val="center"/>
              <w:rPr>
                <w:rFonts w:ascii="宋体" w:hAnsi="宋体" w:cs="宋体"/>
                <w:color w:val="000000" w:themeColor="text1"/>
                <w:kern w:val="0"/>
                <w:sz w:val="18"/>
                <w:szCs w:val="18"/>
              </w:rPr>
            </w:pPr>
          </w:p>
        </w:tc>
        <w:tc>
          <w:tcPr>
            <w:tcW w:w="437" w:type="dxa"/>
            <w:shd w:val="clear" w:color="auto" w:fill="auto"/>
            <w:vAlign w:val="center"/>
          </w:tcPr>
          <w:p w14:paraId="46349A27">
            <w:pPr>
              <w:pStyle w:val="179"/>
              <w:spacing w:before="62"/>
              <w:rPr>
                <w:color w:val="000000" w:themeColor="text1"/>
              </w:rPr>
            </w:pPr>
          </w:p>
        </w:tc>
      </w:tr>
      <w:tr w14:paraId="488B3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shd w:val="clear" w:color="auto" w:fill="auto"/>
            <w:vAlign w:val="center"/>
          </w:tcPr>
          <w:p w14:paraId="57B63A8B">
            <w:pPr>
              <w:jc w:val="center"/>
              <w:rPr>
                <w:rFonts w:hAnsi="宋体"/>
                <w:color w:val="000000" w:themeColor="text1"/>
                <w:sz w:val="18"/>
                <w:szCs w:val="18"/>
              </w:rPr>
            </w:pPr>
          </w:p>
        </w:tc>
        <w:tc>
          <w:tcPr>
            <w:tcW w:w="615" w:type="dxa"/>
            <w:shd w:val="clear" w:color="auto" w:fill="auto"/>
            <w:vAlign w:val="center"/>
          </w:tcPr>
          <w:p w14:paraId="1C3A766C">
            <w:pPr>
              <w:jc w:val="center"/>
              <w:rPr>
                <w:rFonts w:hAnsi="宋体"/>
                <w:color w:val="000000" w:themeColor="text1"/>
                <w:sz w:val="18"/>
                <w:szCs w:val="18"/>
              </w:rPr>
            </w:pPr>
          </w:p>
        </w:tc>
        <w:tc>
          <w:tcPr>
            <w:tcW w:w="2321" w:type="dxa"/>
            <w:vAlign w:val="center"/>
          </w:tcPr>
          <w:p w14:paraId="4B4EAC8A">
            <w:pPr>
              <w:widowControl/>
              <w:adjustRightInd/>
              <w:spacing w:line="240" w:lineRule="auto"/>
              <w:jc w:val="left"/>
              <w:rPr>
                <w:rFonts w:ascii="宋体" w:hAnsi="宋体" w:cs="宋体"/>
                <w:color w:val="000000" w:themeColor="text1"/>
                <w:kern w:val="0"/>
                <w:sz w:val="18"/>
                <w:szCs w:val="18"/>
              </w:rPr>
            </w:pPr>
          </w:p>
        </w:tc>
        <w:tc>
          <w:tcPr>
            <w:tcW w:w="2136" w:type="dxa"/>
            <w:shd w:val="clear" w:color="auto" w:fill="auto"/>
            <w:vAlign w:val="center"/>
          </w:tcPr>
          <w:p w14:paraId="10B40F83">
            <w:pPr>
              <w:widowControl/>
              <w:adjustRightInd/>
              <w:spacing w:line="240" w:lineRule="auto"/>
              <w:rPr>
                <w:rFonts w:ascii="宋体" w:hAnsi="宋体" w:cs="宋体"/>
                <w:color w:val="000000" w:themeColor="text1"/>
                <w:kern w:val="0"/>
                <w:sz w:val="18"/>
                <w:szCs w:val="18"/>
              </w:rPr>
            </w:pPr>
          </w:p>
        </w:tc>
        <w:tc>
          <w:tcPr>
            <w:tcW w:w="807" w:type="dxa"/>
            <w:shd w:val="clear" w:color="auto" w:fill="auto"/>
            <w:vAlign w:val="center"/>
          </w:tcPr>
          <w:p w14:paraId="559627D0">
            <w:pPr>
              <w:widowControl/>
              <w:adjustRightInd/>
              <w:spacing w:line="240" w:lineRule="auto"/>
              <w:jc w:val="center"/>
              <w:rPr>
                <w:rFonts w:ascii="宋体" w:hAnsi="宋体" w:cs="宋体"/>
                <w:color w:val="000000" w:themeColor="text1"/>
                <w:kern w:val="0"/>
                <w:sz w:val="18"/>
                <w:szCs w:val="18"/>
              </w:rPr>
            </w:pPr>
          </w:p>
        </w:tc>
        <w:tc>
          <w:tcPr>
            <w:tcW w:w="760" w:type="dxa"/>
            <w:shd w:val="clear" w:color="auto" w:fill="auto"/>
            <w:vAlign w:val="center"/>
          </w:tcPr>
          <w:p w14:paraId="2CAD8EF5">
            <w:pPr>
              <w:widowControl/>
              <w:adjustRightInd/>
              <w:spacing w:line="240" w:lineRule="auto"/>
              <w:jc w:val="center"/>
              <w:rPr>
                <w:rFonts w:ascii="宋体" w:hAnsi="宋体" w:cs="宋体"/>
                <w:color w:val="000000" w:themeColor="text1"/>
                <w:kern w:val="0"/>
                <w:sz w:val="18"/>
                <w:szCs w:val="18"/>
              </w:rPr>
            </w:pPr>
          </w:p>
        </w:tc>
        <w:tc>
          <w:tcPr>
            <w:tcW w:w="782" w:type="dxa"/>
            <w:shd w:val="clear" w:color="auto" w:fill="auto"/>
            <w:vAlign w:val="center"/>
          </w:tcPr>
          <w:p w14:paraId="03B8050C">
            <w:pPr>
              <w:widowControl/>
              <w:adjustRightInd/>
              <w:spacing w:line="240" w:lineRule="auto"/>
              <w:jc w:val="center"/>
              <w:rPr>
                <w:rFonts w:ascii="宋体" w:hAnsi="宋体" w:cs="宋体"/>
                <w:color w:val="000000" w:themeColor="text1"/>
                <w:kern w:val="0"/>
                <w:sz w:val="18"/>
                <w:szCs w:val="18"/>
              </w:rPr>
            </w:pPr>
          </w:p>
        </w:tc>
        <w:tc>
          <w:tcPr>
            <w:tcW w:w="1195" w:type="dxa"/>
            <w:shd w:val="clear" w:color="auto" w:fill="auto"/>
            <w:vAlign w:val="center"/>
          </w:tcPr>
          <w:p w14:paraId="548FEAA9">
            <w:pPr>
              <w:widowControl/>
              <w:adjustRightInd/>
              <w:spacing w:line="240" w:lineRule="auto"/>
              <w:jc w:val="center"/>
              <w:rPr>
                <w:rFonts w:ascii="宋体" w:hAnsi="宋体" w:cs="宋体"/>
                <w:color w:val="000000" w:themeColor="text1"/>
                <w:kern w:val="0"/>
                <w:sz w:val="18"/>
                <w:szCs w:val="18"/>
              </w:rPr>
            </w:pPr>
          </w:p>
        </w:tc>
        <w:tc>
          <w:tcPr>
            <w:tcW w:w="437" w:type="dxa"/>
            <w:shd w:val="clear" w:color="auto" w:fill="auto"/>
            <w:vAlign w:val="center"/>
          </w:tcPr>
          <w:p w14:paraId="5C10C2F5">
            <w:pPr>
              <w:pStyle w:val="179"/>
              <w:spacing w:before="62"/>
              <w:rPr>
                <w:color w:val="000000" w:themeColor="text1"/>
              </w:rPr>
            </w:pPr>
          </w:p>
        </w:tc>
      </w:tr>
      <w:tr w14:paraId="4BD19E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5" w:type="dxa"/>
            <w:shd w:val="clear" w:color="auto" w:fill="auto"/>
            <w:vAlign w:val="center"/>
          </w:tcPr>
          <w:p w14:paraId="6AC863D8">
            <w:pPr>
              <w:jc w:val="center"/>
              <w:rPr>
                <w:rFonts w:hAnsi="宋体"/>
                <w:color w:val="000000" w:themeColor="text1"/>
                <w:sz w:val="18"/>
                <w:szCs w:val="18"/>
              </w:rPr>
            </w:pPr>
          </w:p>
        </w:tc>
        <w:tc>
          <w:tcPr>
            <w:tcW w:w="615" w:type="dxa"/>
            <w:shd w:val="clear" w:color="auto" w:fill="auto"/>
            <w:vAlign w:val="center"/>
          </w:tcPr>
          <w:p w14:paraId="6D1AB310">
            <w:pPr>
              <w:jc w:val="center"/>
              <w:rPr>
                <w:rFonts w:hAnsi="宋体"/>
                <w:color w:val="000000" w:themeColor="text1"/>
                <w:sz w:val="18"/>
                <w:szCs w:val="18"/>
              </w:rPr>
            </w:pPr>
          </w:p>
        </w:tc>
        <w:tc>
          <w:tcPr>
            <w:tcW w:w="2321" w:type="dxa"/>
            <w:vAlign w:val="center"/>
          </w:tcPr>
          <w:p w14:paraId="2431AF3D">
            <w:pPr>
              <w:widowControl/>
              <w:adjustRightInd/>
              <w:spacing w:line="240" w:lineRule="auto"/>
              <w:jc w:val="left"/>
              <w:rPr>
                <w:rFonts w:ascii="宋体" w:hAnsi="宋体" w:cs="宋体"/>
                <w:color w:val="000000" w:themeColor="text1"/>
                <w:kern w:val="0"/>
                <w:sz w:val="18"/>
                <w:szCs w:val="18"/>
              </w:rPr>
            </w:pPr>
          </w:p>
        </w:tc>
        <w:tc>
          <w:tcPr>
            <w:tcW w:w="2136" w:type="dxa"/>
            <w:shd w:val="clear" w:color="auto" w:fill="auto"/>
            <w:vAlign w:val="center"/>
          </w:tcPr>
          <w:p w14:paraId="0885A47D">
            <w:pPr>
              <w:widowControl/>
              <w:adjustRightInd/>
              <w:spacing w:line="240" w:lineRule="auto"/>
              <w:jc w:val="left"/>
              <w:rPr>
                <w:rFonts w:ascii="宋体" w:hAnsi="宋体" w:cs="宋体"/>
                <w:color w:val="000000" w:themeColor="text1"/>
                <w:kern w:val="0"/>
                <w:sz w:val="18"/>
                <w:szCs w:val="18"/>
              </w:rPr>
            </w:pPr>
          </w:p>
        </w:tc>
        <w:tc>
          <w:tcPr>
            <w:tcW w:w="807" w:type="dxa"/>
            <w:shd w:val="clear" w:color="auto" w:fill="auto"/>
            <w:vAlign w:val="center"/>
          </w:tcPr>
          <w:p w14:paraId="3B920595">
            <w:pPr>
              <w:widowControl/>
              <w:adjustRightInd/>
              <w:spacing w:line="240" w:lineRule="auto"/>
              <w:jc w:val="center"/>
              <w:rPr>
                <w:rFonts w:ascii="宋体" w:hAnsi="宋体" w:cs="宋体"/>
                <w:color w:val="000000" w:themeColor="text1"/>
                <w:kern w:val="0"/>
                <w:sz w:val="18"/>
                <w:szCs w:val="18"/>
              </w:rPr>
            </w:pPr>
          </w:p>
        </w:tc>
        <w:tc>
          <w:tcPr>
            <w:tcW w:w="760" w:type="dxa"/>
            <w:shd w:val="clear" w:color="auto" w:fill="auto"/>
            <w:vAlign w:val="center"/>
          </w:tcPr>
          <w:p w14:paraId="3D36B051">
            <w:pPr>
              <w:widowControl/>
              <w:adjustRightInd/>
              <w:spacing w:line="240" w:lineRule="auto"/>
              <w:jc w:val="center"/>
              <w:rPr>
                <w:rFonts w:ascii="宋体" w:hAnsi="宋体" w:cs="宋体"/>
                <w:color w:val="000000" w:themeColor="text1"/>
                <w:kern w:val="0"/>
                <w:sz w:val="18"/>
                <w:szCs w:val="18"/>
              </w:rPr>
            </w:pPr>
          </w:p>
        </w:tc>
        <w:tc>
          <w:tcPr>
            <w:tcW w:w="782" w:type="dxa"/>
            <w:shd w:val="clear" w:color="auto" w:fill="auto"/>
            <w:vAlign w:val="center"/>
          </w:tcPr>
          <w:p w14:paraId="060FA165">
            <w:pPr>
              <w:widowControl/>
              <w:adjustRightInd/>
              <w:spacing w:line="240" w:lineRule="auto"/>
              <w:jc w:val="center"/>
              <w:rPr>
                <w:rFonts w:ascii="宋体" w:hAnsi="宋体" w:cs="宋体"/>
                <w:color w:val="000000" w:themeColor="text1"/>
                <w:kern w:val="0"/>
                <w:sz w:val="18"/>
                <w:szCs w:val="18"/>
              </w:rPr>
            </w:pPr>
          </w:p>
        </w:tc>
        <w:tc>
          <w:tcPr>
            <w:tcW w:w="1195" w:type="dxa"/>
            <w:shd w:val="clear" w:color="auto" w:fill="auto"/>
            <w:vAlign w:val="center"/>
          </w:tcPr>
          <w:p w14:paraId="160D8B30">
            <w:pPr>
              <w:widowControl/>
              <w:adjustRightInd/>
              <w:spacing w:line="240" w:lineRule="auto"/>
              <w:jc w:val="center"/>
              <w:rPr>
                <w:rFonts w:ascii="宋体" w:hAnsi="宋体" w:cs="宋体"/>
                <w:color w:val="000000" w:themeColor="text1"/>
                <w:kern w:val="0"/>
                <w:sz w:val="18"/>
                <w:szCs w:val="18"/>
              </w:rPr>
            </w:pPr>
          </w:p>
        </w:tc>
        <w:tc>
          <w:tcPr>
            <w:tcW w:w="437" w:type="dxa"/>
            <w:shd w:val="clear" w:color="auto" w:fill="auto"/>
            <w:vAlign w:val="center"/>
          </w:tcPr>
          <w:p w14:paraId="1B376C9E">
            <w:pPr>
              <w:pStyle w:val="179"/>
              <w:spacing w:before="62"/>
              <w:rPr>
                <w:color w:val="000000" w:themeColor="text1"/>
              </w:rPr>
            </w:pPr>
          </w:p>
        </w:tc>
      </w:tr>
    </w:tbl>
    <w:p w14:paraId="00E817F4">
      <w:pPr>
        <w:pStyle w:val="58"/>
        <w:ind w:firstLine="420"/>
        <w:rPr>
          <w:color w:val="000000" w:themeColor="text1"/>
        </w:rPr>
      </w:pPr>
    </w:p>
    <w:p w14:paraId="7D2F5376">
      <w:pPr>
        <w:pStyle w:val="58"/>
        <w:ind w:firstLine="420"/>
        <w:rPr>
          <w:color w:val="000000" w:themeColor="text1"/>
        </w:rPr>
      </w:pPr>
    </w:p>
    <w:p w14:paraId="697184CF">
      <w:pPr>
        <w:pStyle w:val="58"/>
        <w:ind w:firstLine="420"/>
        <w:rPr>
          <w:color w:val="000000" w:themeColor="text1"/>
        </w:rPr>
      </w:pPr>
    </w:p>
    <w:p w14:paraId="2764F90C">
      <w:pPr>
        <w:pStyle w:val="58"/>
        <w:ind w:firstLine="420"/>
        <w:rPr>
          <w:color w:val="000000" w:themeColor="text1"/>
        </w:rPr>
        <w:sectPr>
          <w:pgSz w:w="11906" w:h="16838"/>
          <w:pgMar w:top="1928" w:right="1134" w:bottom="1134" w:left="1134" w:header="1418" w:footer="1134" w:gutter="284"/>
          <w:cols w:space="425" w:num="1"/>
          <w:formProt w:val="0"/>
          <w:docGrid w:type="lines" w:linePitch="312" w:charSpace="0"/>
        </w:sectPr>
      </w:pPr>
    </w:p>
    <w:p w14:paraId="19270933">
      <w:pPr>
        <w:pStyle w:val="200"/>
        <w:rPr>
          <w:vanish w:val="0"/>
          <w:color w:val="000000" w:themeColor="text1"/>
        </w:rPr>
      </w:pPr>
    </w:p>
    <w:p w14:paraId="7830204D">
      <w:pPr>
        <w:pStyle w:val="201"/>
        <w:rPr>
          <w:vanish w:val="0"/>
          <w:color w:val="000000" w:themeColor="text1"/>
        </w:rPr>
      </w:pPr>
    </w:p>
    <w:p w14:paraId="2F712F2B">
      <w:pPr>
        <w:pStyle w:val="78"/>
        <w:spacing w:after="156"/>
        <w:rPr>
          <w:color w:val="000000" w:themeColor="text1"/>
        </w:rPr>
      </w:pPr>
      <w:r>
        <w:rPr>
          <w:color w:val="000000" w:themeColor="text1"/>
        </w:rPr>
        <w:br w:type="textWrapping"/>
      </w:r>
      <w:bookmarkStart w:id="161" w:name="_Toc185672284"/>
      <w:bookmarkStart w:id="162" w:name="_Toc182083003"/>
      <w:bookmarkStart w:id="163" w:name="_Toc185426300"/>
      <w:r>
        <w:rPr>
          <w:rFonts w:hint="eastAsia"/>
          <w:color w:val="000000" w:themeColor="text1"/>
        </w:rPr>
        <w:t>（资料性）</w:t>
      </w:r>
      <w:r>
        <w:rPr>
          <w:color w:val="000000" w:themeColor="text1"/>
        </w:rPr>
        <w:br w:type="textWrapping"/>
      </w:r>
      <w:r>
        <w:rPr>
          <w:rFonts w:hint="eastAsia"/>
          <w:color w:val="000000" w:themeColor="text1"/>
        </w:rPr>
        <w:t>隐患排查治理台账</w:t>
      </w:r>
      <w:bookmarkEnd w:id="161"/>
      <w:bookmarkEnd w:id="162"/>
      <w:bookmarkEnd w:id="163"/>
    </w:p>
    <w:p w14:paraId="22BAF4DD">
      <w:pPr>
        <w:pStyle w:val="58"/>
        <w:ind w:firstLine="420"/>
        <w:rPr>
          <w:color w:val="000000" w:themeColor="text1"/>
        </w:rPr>
      </w:pP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79"/>
        <w:gridCol w:w="782"/>
        <w:gridCol w:w="782"/>
        <w:gridCol w:w="782"/>
        <w:gridCol w:w="826"/>
        <w:gridCol w:w="782"/>
        <w:gridCol w:w="782"/>
        <w:gridCol w:w="782"/>
        <w:gridCol w:w="826"/>
        <w:gridCol w:w="783"/>
        <w:gridCol w:w="783"/>
        <w:gridCol w:w="785"/>
      </w:tblGrid>
      <w:tr w14:paraId="78EA6A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27" w:type="dxa"/>
            <w:tcBorders>
              <w:top w:val="single" w:color="auto" w:sz="8" w:space="0"/>
              <w:bottom w:val="single" w:color="auto" w:sz="8" w:space="0"/>
            </w:tcBorders>
            <w:shd w:val="clear" w:color="auto" w:fill="auto"/>
            <w:vAlign w:val="center"/>
          </w:tcPr>
          <w:p w14:paraId="146DFDB4">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序号</w:t>
            </w:r>
          </w:p>
        </w:tc>
        <w:tc>
          <w:tcPr>
            <w:tcW w:w="964" w:type="dxa"/>
            <w:tcBorders>
              <w:top w:val="single" w:color="auto" w:sz="8" w:space="0"/>
              <w:bottom w:val="single" w:color="auto" w:sz="8" w:space="0"/>
            </w:tcBorders>
            <w:shd w:val="clear" w:color="auto" w:fill="auto"/>
            <w:vAlign w:val="center"/>
          </w:tcPr>
          <w:p w14:paraId="79E904EC">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排查时间</w:t>
            </w:r>
          </w:p>
        </w:tc>
        <w:tc>
          <w:tcPr>
            <w:tcW w:w="964" w:type="dxa"/>
            <w:tcBorders>
              <w:top w:val="single" w:color="auto" w:sz="8" w:space="0"/>
              <w:bottom w:val="single" w:color="auto" w:sz="8" w:space="0"/>
            </w:tcBorders>
            <w:shd w:val="clear" w:color="auto" w:fill="auto"/>
            <w:vAlign w:val="center"/>
          </w:tcPr>
          <w:p w14:paraId="023FDD08">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排查人员</w:t>
            </w:r>
          </w:p>
        </w:tc>
        <w:tc>
          <w:tcPr>
            <w:tcW w:w="964" w:type="dxa"/>
            <w:tcBorders>
              <w:top w:val="single" w:color="auto" w:sz="8" w:space="0"/>
              <w:bottom w:val="single" w:color="auto" w:sz="8" w:space="0"/>
            </w:tcBorders>
            <w:shd w:val="clear" w:color="auto" w:fill="auto"/>
            <w:vAlign w:val="center"/>
          </w:tcPr>
          <w:p w14:paraId="12AE449E">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隐患</w:t>
            </w:r>
            <w:r>
              <w:rPr>
                <w:rFonts w:ascii="宋体" w:hAnsi="宋体"/>
                <w:color w:val="000000" w:themeColor="text1"/>
                <w:sz w:val="18"/>
                <w:szCs w:val="18"/>
              </w:rPr>
              <w:t>内容</w:t>
            </w:r>
          </w:p>
        </w:tc>
        <w:tc>
          <w:tcPr>
            <w:tcW w:w="1021" w:type="dxa"/>
            <w:tcBorders>
              <w:top w:val="single" w:color="auto" w:sz="8" w:space="0"/>
              <w:bottom w:val="single" w:color="auto" w:sz="8" w:space="0"/>
            </w:tcBorders>
            <w:shd w:val="clear" w:color="auto" w:fill="auto"/>
            <w:vAlign w:val="center"/>
          </w:tcPr>
          <w:p w14:paraId="28256C94">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形成原因分析</w:t>
            </w:r>
          </w:p>
        </w:tc>
        <w:tc>
          <w:tcPr>
            <w:tcW w:w="964" w:type="dxa"/>
            <w:tcBorders>
              <w:top w:val="single" w:color="auto" w:sz="8" w:space="0"/>
              <w:bottom w:val="single" w:color="auto" w:sz="8" w:space="0"/>
            </w:tcBorders>
            <w:shd w:val="clear" w:color="auto" w:fill="auto"/>
            <w:vAlign w:val="center"/>
          </w:tcPr>
          <w:p w14:paraId="472A0F5E">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整改措施</w:t>
            </w:r>
          </w:p>
        </w:tc>
        <w:tc>
          <w:tcPr>
            <w:tcW w:w="964" w:type="dxa"/>
            <w:tcBorders>
              <w:top w:val="single" w:color="auto" w:sz="8" w:space="0"/>
              <w:bottom w:val="single" w:color="auto" w:sz="8" w:space="0"/>
            </w:tcBorders>
            <w:shd w:val="clear" w:color="auto" w:fill="auto"/>
            <w:vAlign w:val="center"/>
          </w:tcPr>
          <w:p w14:paraId="4F6D7FFB">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整改责任人</w:t>
            </w:r>
          </w:p>
        </w:tc>
        <w:tc>
          <w:tcPr>
            <w:tcW w:w="964" w:type="dxa"/>
            <w:tcBorders>
              <w:top w:val="single" w:color="auto" w:sz="8" w:space="0"/>
              <w:bottom w:val="single" w:color="auto" w:sz="8" w:space="0"/>
            </w:tcBorders>
            <w:shd w:val="clear" w:color="auto" w:fill="auto"/>
            <w:vAlign w:val="center"/>
          </w:tcPr>
          <w:p w14:paraId="4EF70240">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整改期限</w:t>
            </w:r>
          </w:p>
        </w:tc>
        <w:tc>
          <w:tcPr>
            <w:tcW w:w="1021" w:type="dxa"/>
            <w:tcBorders>
              <w:top w:val="single" w:color="auto" w:sz="8" w:space="0"/>
              <w:bottom w:val="single" w:color="auto" w:sz="8" w:space="0"/>
            </w:tcBorders>
            <w:shd w:val="clear" w:color="auto" w:fill="auto"/>
            <w:vAlign w:val="center"/>
          </w:tcPr>
          <w:p w14:paraId="002D9A5B">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整改结果</w:t>
            </w:r>
          </w:p>
        </w:tc>
        <w:tc>
          <w:tcPr>
            <w:tcW w:w="964" w:type="dxa"/>
            <w:tcBorders>
              <w:top w:val="single" w:color="auto" w:sz="8" w:space="0"/>
              <w:bottom w:val="single" w:color="auto" w:sz="8" w:space="0"/>
            </w:tcBorders>
            <w:shd w:val="clear" w:color="auto" w:fill="auto"/>
            <w:vAlign w:val="center"/>
          </w:tcPr>
          <w:p w14:paraId="20EEB67D">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验收时间</w:t>
            </w:r>
          </w:p>
        </w:tc>
        <w:tc>
          <w:tcPr>
            <w:tcW w:w="964" w:type="dxa"/>
            <w:tcBorders>
              <w:top w:val="single" w:color="auto" w:sz="8" w:space="0"/>
              <w:bottom w:val="single" w:color="auto" w:sz="8" w:space="0"/>
            </w:tcBorders>
            <w:shd w:val="clear" w:color="auto" w:fill="auto"/>
            <w:vAlign w:val="center"/>
          </w:tcPr>
          <w:p w14:paraId="7AD9A745">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验收结果</w:t>
            </w:r>
          </w:p>
        </w:tc>
        <w:tc>
          <w:tcPr>
            <w:tcW w:w="964" w:type="dxa"/>
            <w:tcBorders>
              <w:top w:val="single" w:color="auto" w:sz="8" w:space="0"/>
              <w:bottom w:val="single" w:color="auto" w:sz="8" w:space="0"/>
            </w:tcBorders>
            <w:shd w:val="clear" w:color="auto" w:fill="auto"/>
            <w:vAlign w:val="center"/>
          </w:tcPr>
          <w:p w14:paraId="70950D75">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验收人</w:t>
            </w:r>
          </w:p>
        </w:tc>
      </w:tr>
      <w:tr w14:paraId="4D9FD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dxa"/>
            <w:tcBorders>
              <w:top w:val="single" w:color="auto" w:sz="8" w:space="0"/>
            </w:tcBorders>
            <w:shd w:val="clear" w:color="auto" w:fill="auto"/>
            <w:vAlign w:val="center"/>
          </w:tcPr>
          <w:p w14:paraId="19A0B1DB">
            <w:pPr>
              <w:pStyle w:val="180"/>
              <w:rPr>
                <w:color w:val="000000" w:themeColor="text1"/>
              </w:rPr>
            </w:pPr>
          </w:p>
        </w:tc>
        <w:tc>
          <w:tcPr>
            <w:tcW w:w="964" w:type="dxa"/>
            <w:tcBorders>
              <w:top w:val="single" w:color="auto" w:sz="8" w:space="0"/>
            </w:tcBorders>
            <w:shd w:val="clear" w:color="auto" w:fill="auto"/>
            <w:vAlign w:val="center"/>
          </w:tcPr>
          <w:p w14:paraId="1AADE1E9">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32CB6A68">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22E4ACBF">
            <w:pPr>
              <w:spacing w:line="240" w:lineRule="auto"/>
              <w:jc w:val="center"/>
              <w:rPr>
                <w:rFonts w:ascii="宋体" w:hAnsi="宋体"/>
                <w:color w:val="000000" w:themeColor="text1"/>
                <w:sz w:val="18"/>
                <w:szCs w:val="18"/>
              </w:rPr>
            </w:pPr>
          </w:p>
        </w:tc>
        <w:tc>
          <w:tcPr>
            <w:tcW w:w="1021" w:type="dxa"/>
            <w:tcBorders>
              <w:top w:val="single" w:color="auto" w:sz="8" w:space="0"/>
            </w:tcBorders>
            <w:shd w:val="clear" w:color="auto" w:fill="auto"/>
            <w:vAlign w:val="center"/>
          </w:tcPr>
          <w:p w14:paraId="276B8AFF">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1C2BC115">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14D53AB1">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2C075DA9">
            <w:pPr>
              <w:spacing w:line="240" w:lineRule="auto"/>
              <w:jc w:val="center"/>
              <w:rPr>
                <w:rFonts w:ascii="宋体" w:hAnsi="宋体"/>
                <w:color w:val="000000" w:themeColor="text1"/>
                <w:sz w:val="18"/>
                <w:szCs w:val="18"/>
              </w:rPr>
            </w:pPr>
          </w:p>
        </w:tc>
        <w:tc>
          <w:tcPr>
            <w:tcW w:w="1021" w:type="dxa"/>
            <w:tcBorders>
              <w:top w:val="single" w:color="auto" w:sz="8" w:space="0"/>
            </w:tcBorders>
            <w:shd w:val="clear" w:color="auto" w:fill="auto"/>
            <w:vAlign w:val="center"/>
          </w:tcPr>
          <w:p w14:paraId="407C9051">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18636CF7">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08D13F9B">
            <w:pPr>
              <w:spacing w:line="240" w:lineRule="auto"/>
              <w:jc w:val="center"/>
              <w:rPr>
                <w:rFonts w:ascii="宋体" w:hAnsi="宋体"/>
                <w:color w:val="000000" w:themeColor="text1"/>
                <w:sz w:val="18"/>
                <w:szCs w:val="18"/>
              </w:rPr>
            </w:pPr>
          </w:p>
        </w:tc>
        <w:tc>
          <w:tcPr>
            <w:tcW w:w="964" w:type="dxa"/>
            <w:tcBorders>
              <w:top w:val="single" w:color="auto" w:sz="8" w:space="0"/>
            </w:tcBorders>
            <w:shd w:val="clear" w:color="auto" w:fill="auto"/>
            <w:vAlign w:val="center"/>
          </w:tcPr>
          <w:p w14:paraId="4AF0F95B">
            <w:pPr>
              <w:spacing w:line="240" w:lineRule="auto"/>
              <w:jc w:val="center"/>
              <w:rPr>
                <w:rFonts w:ascii="宋体" w:hAnsi="宋体"/>
                <w:color w:val="000000" w:themeColor="text1"/>
                <w:sz w:val="18"/>
                <w:szCs w:val="18"/>
              </w:rPr>
            </w:pPr>
          </w:p>
        </w:tc>
      </w:tr>
      <w:tr w14:paraId="6B8C80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dxa"/>
            <w:shd w:val="clear" w:color="auto" w:fill="auto"/>
            <w:vAlign w:val="center"/>
          </w:tcPr>
          <w:p w14:paraId="7364AD50">
            <w:pPr>
              <w:pStyle w:val="180"/>
              <w:rPr>
                <w:color w:val="000000" w:themeColor="text1"/>
              </w:rPr>
            </w:pPr>
          </w:p>
        </w:tc>
        <w:tc>
          <w:tcPr>
            <w:tcW w:w="964" w:type="dxa"/>
            <w:shd w:val="clear" w:color="auto" w:fill="auto"/>
            <w:vAlign w:val="center"/>
          </w:tcPr>
          <w:p w14:paraId="13FBBCEE">
            <w:pPr>
              <w:pStyle w:val="180"/>
              <w:rPr>
                <w:color w:val="000000" w:themeColor="text1"/>
              </w:rPr>
            </w:pPr>
          </w:p>
        </w:tc>
        <w:tc>
          <w:tcPr>
            <w:tcW w:w="964" w:type="dxa"/>
            <w:shd w:val="clear" w:color="auto" w:fill="auto"/>
            <w:vAlign w:val="center"/>
          </w:tcPr>
          <w:p w14:paraId="62237CA4">
            <w:pPr>
              <w:pStyle w:val="180"/>
              <w:rPr>
                <w:color w:val="000000" w:themeColor="text1"/>
              </w:rPr>
            </w:pPr>
          </w:p>
        </w:tc>
        <w:tc>
          <w:tcPr>
            <w:tcW w:w="964" w:type="dxa"/>
            <w:shd w:val="clear" w:color="auto" w:fill="auto"/>
            <w:vAlign w:val="center"/>
          </w:tcPr>
          <w:p w14:paraId="20B3F9B1">
            <w:pPr>
              <w:pStyle w:val="180"/>
              <w:rPr>
                <w:color w:val="000000" w:themeColor="text1"/>
              </w:rPr>
            </w:pPr>
          </w:p>
        </w:tc>
        <w:tc>
          <w:tcPr>
            <w:tcW w:w="1021" w:type="dxa"/>
            <w:shd w:val="clear" w:color="auto" w:fill="auto"/>
            <w:vAlign w:val="center"/>
          </w:tcPr>
          <w:p w14:paraId="4624A832">
            <w:pPr>
              <w:pStyle w:val="180"/>
              <w:rPr>
                <w:color w:val="000000" w:themeColor="text1"/>
              </w:rPr>
            </w:pPr>
          </w:p>
        </w:tc>
        <w:tc>
          <w:tcPr>
            <w:tcW w:w="964" w:type="dxa"/>
            <w:shd w:val="clear" w:color="auto" w:fill="auto"/>
            <w:vAlign w:val="center"/>
          </w:tcPr>
          <w:p w14:paraId="6CE8C426">
            <w:pPr>
              <w:pStyle w:val="180"/>
              <w:rPr>
                <w:color w:val="000000" w:themeColor="text1"/>
              </w:rPr>
            </w:pPr>
          </w:p>
        </w:tc>
        <w:tc>
          <w:tcPr>
            <w:tcW w:w="964" w:type="dxa"/>
            <w:shd w:val="clear" w:color="auto" w:fill="auto"/>
            <w:vAlign w:val="center"/>
          </w:tcPr>
          <w:p w14:paraId="067A87B7">
            <w:pPr>
              <w:pStyle w:val="180"/>
              <w:rPr>
                <w:color w:val="000000" w:themeColor="text1"/>
              </w:rPr>
            </w:pPr>
          </w:p>
        </w:tc>
        <w:tc>
          <w:tcPr>
            <w:tcW w:w="964" w:type="dxa"/>
            <w:shd w:val="clear" w:color="auto" w:fill="auto"/>
            <w:vAlign w:val="center"/>
          </w:tcPr>
          <w:p w14:paraId="1E0AD069">
            <w:pPr>
              <w:pStyle w:val="180"/>
              <w:rPr>
                <w:color w:val="000000" w:themeColor="text1"/>
              </w:rPr>
            </w:pPr>
          </w:p>
        </w:tc>
        <w:tc>
          <w:tcPr>
            <w:tcW w:w="1021" w:type="dxa"/>
            <w:shd w:val="clear" w:color="auto" w:fill="auto"/>
            <w:vAlign w:val="center"/>
          </w:tcPr>
          <w:p w14:paraId="2300F656">
            <w:pPr>
              <w:pStyle w:val="180"/>
              <w:rPr>
                <w:color w:val="000000" w:themeColor="text1"/>
              </w:rPr>
            </w:pPr>
          </w:p>
        </w:tc>
        <w:tc>
          <w:tcPr>
            <w:tcW w:w="964" w:type="dxa"/>
            <w:shd w:val="clear" w:color="auto" w:fill="auto"/>
            <w:vAlign w:val="center"/>
          </w:tcPr>
          <w:p w14:paraId="27F266F0">
            <w:pPr>
              <w:pStyle w:val="180"/>
              <w:rPr>
                <w:color w:val="000000" w:themeColor="text1"/>
              </w:rPr>
            </w:pPr>
          </w:p>
        </w:tc>
        <w:tc>
          <w:tcPr>
            <w:tcW w:w="964" w:type="dxa"/>
            <w:shd w:val="clear" w:color="auto" w:fill="auto"/>
            <w:vAlign w:val="center"/>
          </w:tcPr>
          <w:p w14:paraId="254E0332">
            <w:pPr>
              <w:pStyle w:val="180"/>
              <w:rPr>
                <w:color w:val="000000" w:themeColor="text1"/>
              </w:rPr>
            </w:pPr>
          </w:p>
        </w:tc>
        <w:tc>
          <w:tcPr>
            <w:tcW w:w="964" w:type="dxa"/>
            <w:shd w:val="clear" w:color="auto" w:fill="auto"/>
            <w:vAlign w:val="center"/>
          </w:tcPr>
          <w:p w14:paraId="319D4783">
            <w:pPr>
              <w:pStyle w:val="180"/>
              <w:rPr>
                <w:color w:val="000000" w:themeColor="text1"/>
              </w:rPr>
            </w:pPr>
          </w:p>
        </w:tc>
      </w:tr>
      <w:tr w14:paraId="106E05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dxa"/>
            <w:shd w:val="clear" w:color="auto" w:fill="auto"/>
            <w:vAlign w:val="center"/>
          </w:tcPr>
          <w:p w14:paraId="62996F6B">
            <w:pPr>
              <w:pStyle w:val="180"/>
              <w:rPr>
                <w:color w:val="000000" w:themeColor="text1"/>
              </w:rPr>
            </w:pPr>
          </w:p>
        </w:tc>
        <w:tc>
          <w:tcPr>
            <w:tcW w:w="964" w:type="dxa"/>
            <w:shd w:val="clear" w:color="auto" w:fill="auto"/>
            <w:vAlign w:val="center"/>
          </w:tcPr>
          <w:p w14:paraId="045A713C">
            <w:pPr>
              <w:pStyle w:val="180"/>
              <w:rPr>
                <w:color w:val="000000" w:themeColor="text1"/>
              </w:rPr>
            </w:pPr>
          </w:p>
        </w:tc>
        <w:tc>
          <w:tcPr>
            <w:tcW w:w="964" w:type="dxa"/>
            <w:shd w:val="clear" w:color="auto" w:fill="auto"/>
            <w:vAlign w:val="center"/>
          </w:tcPr>
          <w:p w14:paraId="48E63451">
            <w:pPr>
              <w:pStyle w:val="180"/>
              <w:rPr>
                <w:color w:val="000000" w:themeColor="text1"/>
              </w:rPr>
            </w:pPr>
          </w:p>
        </w:tc>
        <w:tc>
          <w:tcPr>
            <w:tcW w:w="964" w:type="dxa"/>
            <w:shd w:val="clear" w:color="auto" w:fill="auto"/>
            <w:vAlign w:val="center"/>
          </w:tcPr>
          <w:p w14:paraId="64F94D28">
            <w:pPr>
              <w:pStyle w:val="180"/>
              <w:rPr>
                <w:color w:val="000000" w:themeColor="text1"/>
              </w:rPr>
            </w:pPr>
          </w:p>
        </w:tc>
        <w:tc>
          <w:tcPr>
            <w:tcW w:w="1021" w:type="dxa"/>
            <w:shd w:val="clear" w:color="auto" w:fill="auto"/>
            <w:vAlign w:val="center"/>
          </w:tcPr>
          <w:p w14:paraId="52FB619F">
            <w:pPr>
              <w:pStyle w:val="180"/>
              <w:rPr>
                <w:color w:val="000000" w:themeColor="text1"/>
              </w:rPr>
            </w:pPr>
          </w:p>
        </w:tc>
        <w:tc>
          <w:tcPr>
            <w:tcW w:w="964" w:type="dxa"/>
            <w:shd w:val="clear" w:color="auto" w:fill="auto"/>
            <w:vAlign w:val="center"/>
          </w:tcPr>
          <w:p w14:paraId="1BA9FE1F">
            <w:pPr>
              <w:pStyle w:val="180"/>
              <w:rPr>
                <w:color w:val="000000" w:themeColor="text1"/>
              </w:rPr>
            </w:pPr>
          </w:p>
        </w:tc>
        <w:tc>
          <w:tcPr>
            <w:tcW w:w="964" w:type="dxa"/>
            <w:shd w:val="clear" w:color="auto" w:fill="auto"/>
            <w:vAlign w:val="center"/>
          </w:tcPr>
          <w:p w14:paraId="43F19765">
            <w:pPr>
              <w:pStyle w:val="180"/>
              <w:rPr>
                <w:color w:val="000000" w:themeColor="text1"/>
              </w:rPr>
            </w:pPr>
          </w:p>
        </w:tc>
        <w:tc>
          <w:tcPr>
            <w:tcW w:w="964" w:type="dxa"/>
            <w:shd w:val="clear" w:color="auto" w:fill="auto"/>
            <w:vAlign w:val="center"/>
          </w:tcPr>
          <w:p w14:paraId="4AA59904">
            <w:pPr>
              <w:pStyle w:val="180"/>
              <w:rPr>
                <w:color w:val="000000" w:themeColor="text1"/>
              </w:rPr>
            </w:pPr>
          </w:p>
        </w:tc>
        <w:tc>
          <w:tcPr>
            <w:tcW w:w="1021" w:type="dxa"/>
            <w:shd w:val="clear" w:color="auto" w:fill="auto"/>
            <w:vAlign w:val="center"/>
          </w:tcPr>
          <w:p w14:paraId="1F20F428">
            <w:pPr>
              <w:pStyle w:val="180"/>
              <w:rPr>
                <w:color w:val="000000" w:themeColor="text1"/>
              </w:rPr>
            </w:pPr>
          </w:p>
        </w:tc>
        <w:tc>
          <w:tcPr>
            <w:tcW w:w="964" w:type="dxa"/>
            <w:shd w:val="clear" w:color="auto" w:fill="auto"/>
            <w:vAlign w:val="center"/>
          </w:tcPr>
          <w:p w14:paraId="2F6A2233">
            <w:pPr>
              <w:pStyle w:val="180"/>
              <w:rPr>
                <w:color w:val="000000" w:themeColor="text1"/>
              </w:rPr>
            </w:pPr>
          </w:p>
        </w:tc>
        <w:tc>
          <w:tcPr>
            <w:tcW w:w="964" w:type="dxa"/>
            <w:shd w:val="clear" w:color="auto" w:fill="auto"/>
            <w:vAlign w:val="center"/>
          </w:tcPr>
          <w:p w14:paraId="7426D9A9">
            <w:pPr>
              <w:pStyle w:val="180"/>
              <w:rPr>
                <w:color w:val="000000" w:themeColor="text1"/>
              </w:rPr>
            </w:pPr>
          </w:p>
        </w:tc>
        <w:tc>
          <w:tcPr>
            <w:tcW w:w="964" w:type="dxa"/>
            <w:shd w:val="clear" w:color="auto" w:fill="auto"/>
            <w:vAlign w:val="center"/>
          </w:tcPr>
          <w:p w14:paraId="72C505F1">
            <w:pPr>
              <w:pStyle w:val="180"/>
              <w:rPr>
                <w:color w:val="000000" w:themeColor="text1"/>
              </w:rPr>
            </w:pPr>
          </w:p>
        </w:tc>
      </w:tr>
      <w:tr w14:paraId="7CC0A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dxa"/>
            <w:shd w:val="clear" w:color="auto" w:fill="auto"/>
            <w:vAlign w:val="center"/>
          </w:tcPr>
          <w:p w14:paraId="3DF2F504">
            <w:pPr>
              <w:pStyle w:val="180"/>
              <w:rPr>
                <w:color w:val="000000" w:themeColor="text1"/>
              </w:rPr>
            </w:pPr>
          </w:p>
        </w:tc>
        <w:tc>
          <w:tcPr>
            <w:tcW w:w="964" w:type="dxa"/>
            <w:shd w:val="clear" w:color="auto" w:fill="auto"/>
            <w:vAlign w:val="center"/>
          </w:tcPr>
          <w:p w14:paraId="07B9546B">
            <w:pPr>
              <w:pStyle w:val="180"/>
              <w:rPr>
                <w:color w:val="000000" w:themeColor="text1"/>
              </w:rPr>
            </w:pPr>
          </w:p>
        </w:tc>
        <w:tc>
          <w:tcPr>
            <w:tcW w:w="964" w:type="dxa"/>
            <w:shd w:val="clear" w:color="auto" w:fill="auto"/>
            <w:vAlign w:val="center"/>
          </w:tcPr>
          <w:p w14:paraId="6FD70074">
            <w:pPr>
              <w:pStyle w:val="180"/>
              <w:rPr>
                <w:color w:val="000000" w:themeColor="text1"/>
              </w:rPr>
            </w:pPr>
          </w:p>
        </w:tc>
        <w:tc>
          <w:tcPr>
            <w:tcW w:w="964" w:type="dxa"/>
            <w:shd w:val="clear" w:color="auto" w:fill="auto"/>
            <w:vAlign w:val="center"/>
          </w:tcPr>
          <w:p w14:paraId="63EA5B56">
            <w:pPr>
              <w:pStyle w:val="180"/>
              <w:rPr>
                <w:color w:val="000000" w:themeColor="text1"/>
              </w:rPr>
            </w:pPr>
          </w:p>
        </w:tc>
        <w:tc>
          <w:tcPr>
            <w:tcW w:w="1021" w:type="dxa"/>
            <w:shd w:val="clear" w:color="auto" w:fill="auto"/>
            <w:vAlign w:val="center"/>
          </w:tcPr>
          <w:p w14:paraId="69E86329">
            <w:pPr>
              <w:pStyle w:val="180"/>
              <w:rPr>
                <w:color w:val="000000" w:themeColor="text1"/>
              </w:rPr>
            </w:pPr>
          </w:p>
        </w:tc>
        <w:tc>
          <w:tcPr>
            <w:tcW w:w="964" w:type="dxa"/>
            <w:shd w:val="clear" w:color="auto" w:fill="auto"/>
            <w:vAlign w:val="center"/>
          </w:tcPr>
          <w:p w14:paraId="3CA20629">
            <w:pPr>
              <w:pStyle w:val="180"/>
              <w:rPr>
                <w:color w:val="000000" w:themeColor="text1"/>
              </w:rPr>
            </w:pPr>
          </w:p>
        </w:tc>
        <w:tc>
          <w:tcPr>
            <w:tcW w:w="964" w:type="dxa"/>
            <w:shd w:val="clear" w:color="auto" w:fill="auto"/>
            <w:vAlign w:val="center"/>
          </w:tcPr>
          <w:p w14:paraId="09AB1F1F">
            <w:pPr>
              <w:pStyle w:val="180"/>
              <w:rPr>
                <w:color w:val="000000" w:themeColor="text1"/>
              </w:rPr>
            </w:pPr>
          </w:p>
        </w:tc>
        <w:tc>
          <w:tcPr>
            <w:tcW w:w="964" w:type="dxa"/>
            <w:shd w:val="clear" w:color="auto" w:fill="auto"/>
            <w:vAlign w:val="center"/>
          </w:tcPr>
          <w:p w14:paraId="7A11FF84">
            <w:pPr>
              <w:pStyle w:val="180"/>
              <w:rPr>
                <w:color w:val="000000" w:themeColor="text1"/>
              </w:rPr>
            </w:pPr>
          </w:p>
        </w:tc>
        <w:tc>
          <w:tcPr>
            <w:tcW w:w="1021" w:type="dxa"/>
            <w:shd w:val="clear" w:color="auto" w:fill="auto"/>
            <w:vAlign w:val="center"/>
          </w:tcPr>
          <w:p w14:paraId="21521CD0">
            <w:pPr>
              <w:pStyle w:val="180"/>
              <w:rPr>
                <w:color w:val="000000" w:themeColor="text1"/>
              </w:rPr>
            </w:pPr>
          </w:p>
        </w:tc>
        <w:tc>
          <w:tcPr>
            <w:tcW w:w="964" w:type="dxa"/>
            <w:shd w:val="clear" w:color="auto" w:fill="auto"/>
            <w:vAlign w:val="center"/>
          </w:tcPr>
          <w:p w14:paraId="2AB02263">
            <w:pPr>
              <w:pStyle w:val="180"/>
              <w:rPr>
                <w:color w:val="000000" w:themeColor="text1"/>
              </w:rPr>
            </w:pPr>
          </w:p>
        </w:tc>
        <w:tc>
          <w:tcPr>
            <w:tcW w:w="964" w:type="dxa"/>
            <w:shd w:val="clear" w:color="auto" w:fill="auto"/>
            <w:vAlign w:val="center"/>
          </w:tcPr>
          <w:p w14:paraId="3DA941A3">
            <w:pPr>
              <w:pStyle w:val="180"/>
              <w:rPr>
                <w:color w:val="000000" w:themeColor="text1"/>
              </w:rPr>
            </w:pPr>
          </w:p>
        </w:tc>
        <w:tc>
          <w:tcPr>
            <w:tcW w:w="964" w:type="dxa"/>
            <w:shd w:val="clear" w:color="auto" w:fill="auto"/>
            <w:vAlign w:val="center"/>
          </w:tcPr>
          <w:p w14:paraId="7C127EC4">
            <w:pPr>
              <w:pStyle w:val="180"/>
              <w:rPr>
                <w:color w:val="000000" w:themeColor="text1"/>
              </w:rPr>
            </w:pPr>
          </w:p>
        </w:tc>
      </w:tr>
      <w:tr w14:paraId="10D0D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dxa"/>
            <w:shd w:val="clear" w:color="auto" w:fill="auto"/>
            <w:vAlign w:val="center"/>
          </w:tcPr>
          <w:p w14:paraId="33B86E5E">
            <w:pPr>
              <w:pStyle w:val="180"/>
              <w:rPr>
                <w:color w:val="000000" w:themeColor="text1"/>
              </w:rPr>
            </w:pPr>
          </w:p>
        </w:tc>
        <w:tc>
          <w:tcPr>
            <w:tcW w:w="964" w:type="dxa"/>
            <w:shd w:val="clear" w:color="auto" w:fill="auto"/>
            <w:vAlign w:val="center"/>
          </w:tcPr>
          <w:p w14:paraId="5870198A">
            <w:pPr>
              <w:pStyle w:val="180"/>
              <w:rPr>
                <w:color w:val="000000" w:themeColor="text1"/>
              </w:rPr>
            </w:pPr>
          </w:p>
        </w:tc>
        <w:tc>
          <w:tcPr>
            <w:tcW w:w="964" w:type="dxa"/>
            <w:shd w:val="clear" w:color="auto" w:fill="auto"/>
            <w:vAlign w:val="center"/>
          </w:tcPr>
          <w:p w14:paraId="7957EAFF">
            <w:pPr>
              <w:pStyle w:val="180"/>
              <w:rPr>
                <w:color w:val="000000" w:themeColor="text1"/>
              </w:rPr>
            </w:pPr>
          </w:p>
        </w:tc>
        <w:tc>
          <w:tcPr>
            <w:tcW w:w="964" w:type="dxa"/>
            <w:shd w:val="clear" w:color="auto" w:fill="auto"/>
            <w:vAlign w:val="center"/>
          </w:tcPr>
          <w:p w14:paraId="26814015">
            <w:pPr>
              <w:pStyle w:val="180"/>
              <w:rPr>
                <w:color w:val="000000" w:themeColor="text1"/>
              </w:rPr>
            </w:pPr>
          </w:p>
        </w:tc>
        <w:tc>
          <w:tcPr>
            <w:tcW w:w="1021" w:type="dxa"/>
            <w:shd w:val="clear" w:color="auto" w:fill="auto"/>
            <w:vAlign w:val="center"/>
          </w:tcPr>
          <w:p w14:paraId="219D7766">
            <w:pPr>
              <w:pStyle w:val="180"/>
              <w:rPr>
                <w:color w:val="000000" w:themeColor="text1"/>
              </w:rPr>
            </w:pPr>
          </w:p>
        </w:tc>
        <w:tc>
          <w:tcPr>
            <w:tcW w:w="964" w:type="dxa"/>
            <w:shd w:val="clear" w:color="auto" w:fill="auto"/>
            <w:vAlign w:val="center"/>
          </w:tcPr>
          <w:p w14:paraId="5DA29677">
            <w:pPr>
              <w:pStyle w:val="180"/>
              <w:rPr>
                <w:color w:val="000000" w:themeColor="text1"/>
              </w:rPr>
            </w:pPr>
          </w:p>
        </w:tc>
        <w:tc>
          <w:tcPr>
            <w:tcW w:w="964" w:type="dxa"/>
            <w:shd w:val="clear" w:color="auto" w:fill="auto"/>
            <w:vAlign w:val="center"/>
          </w:tcPr>
          <w:p w14:paraId="4AFBA3FC">
            <w:pPr>
              <w:pStyle w:val="180"/>
              <w:rPr>
                <w:color w:val="000000" w:themeColor="text1"/>
              </w:rPr>
            </w:pPr>
          </w:p>
        </w:tc>
        <w:tc>
          <w:tcPr>
            <w:tcW w:w="964" w:type="dxa"/>
            <w:shd w:val="clear" w:color="auto" w:fill="auto"/>
            <w:vAlign w:val="center"/>
          </w:tcPr>
          <w:p w14:paraId="7C3B2F66">
            <w:pPr>
              <w:pStyle w:val="180"/>
              <w:rPr>
                <w:color w:val="000000" w:themeColor="text1"/>
              </w:rPr>
            </w:pPr>
          </w:p>
        </w:tc>
        <w:tc>
          <w:tcPr>
            <w:tcW w:w="1021" w:type="dxa"/>
            <w:shd w:val="clear" w:color="auto" w:fill="auto"/>
            <w:vAlign w:val="center"/>
          </w:tcPr>
          <w:p w14:paraId="30478CA8">
            <w:pPr>
              <w:pStyle w:val="180"/>
              <w:rPr>
                <w:color w:val="000000" w:themeColor="text1"/>
              </w:rPr>
            </w:pPr>
          </w:p>
        </w:tc>
        <w:tc>
          <w:tcPr>
            <w:tcW w:w="964" w:type="dxa"/>
            <w:shd w:val="clear" w:color="auto" w:fill="auto"/>
            <w:vAlign w:val="center"/>
          </w:tcPr>
          <w:p w14:paraId="3E4B9CBE">
            <w:pPr>
              <w:pStyle w:val="180"/>
              <w:rPr>
                <w:color w:val="000000" w:themeColor="text1"/>
              </w:rPr>
            </w:pPr>
          </w:p>
        </w:tc>
        <w:tc>
          <w:tcPr>
            <w:tcW w:w="964" w:type="dxa"/>
            <w:shd w:val="clear" w:color="auto" w:fill="auto"/>
            <w:vAlign w:val="center"/>
          </w:tcPr>
          <w:p w14:paraId="099265B7">
            <w:pPr>
              <w:pStyle w:val="180"/>
              <w:rPr>
                <w:color w:val="000000" w:themeColor="text1"/>
              </w:rPr>
            </w:pPr>
          </w:p>
        </w:tc>
        <w:tc>
          <w:tcPr>
            <w:tcW w:w="964" w:type="dxa"/>
            <w:shd w:val="clear" w:color="auto" w:fill="auto"/>
            <w:vAlign w:val="center"/>
          </w:tcPr>
          <w:p w14:paraId="0D44AFBE">
            <w:pPr>
              <w:pStyle w:val="180"/>
              <w:rPr>
                <w:color w:val="000000" w:themeColor="text1"/>
              </w:rPr>
            </w:pPr>
          </w:p>
        </w:tc>
      </w:tr>
    </w:tbl>
    <w:p w14:paraId="64E059FC">
      <w:pPr>
        <w:pStyle w:val="58"/>
        <w:ind w:firstLine="420"/>
        <w:rPr>
          <w:color w:val="000000" w:themeColor="text1"/>
        </w:rPr>
      </w:pPr>
    </w:p>
    <w:p w14:paraId="2344DF6A">
      <w:pPr>
        <w:pStyle w:val="58"/>
        <w:ind w:firstLine="420"/>
        <w:rPr>
          <w:color w:val="000000" w:themeColor="text1"/>
        </w:rPr>
      </w:pPr>
    </w:p>
    <w:p w14:paraId="68BB1C85">
      <w:pPr>
        <w:pStyle w:val="58"/>
        <w:ind w:firstLine="420"/>
        <w:rPr>
          <w:color w:val="000000" w:themeColor="text1"/>
        </w:rPr>
      </w:pPr>
    </w:p>
    <w:p w14:paraId="2D2CAC95">
      <w:pPr>
        <w:pStyle w:val="58"/>
        <w:ind w:firstLine="420"/>
        <w:rPr>
          <w:color w:val="000000" w:themeColor="text1"/>
        </w:rPr>
      </w:pPr>
    </w:p>
    <w:bookmarkEnd w:id="148"/>
    <w:p w14:paraId="0EECEA14">
      <w:pPr>
        <w:pStyle w:val="58"/>
        <w:ind w:firstLine="420"/>
        <w:rPr>
          <w:color w:val="000000" w:themeColor="text1"/>
        </w:rPr>
        <w:sectPr>
          <w:pgSz w:w="11906" w:h="16838"/>
          <w:pgMar w:top="1928" w:right="1134" w:bottom="1134" w:left="1134" w:header="1418" w:footer="1134" w:gutter="284"/>
          <w:cols w:space="425" w:num="1"/>
          <w:formProt w:val="0"/>
          <w:docGrid w:type="lines" w:linePitch="312" w:charSpace="0"/>
        </w:sectPr>
      </w:pPr>
      <w:bookmarkStart w:id="164" w:name="BookMark6"/>
    </w:p>
    <w:p w14:paraId="223C3DB4">
      <w:pPr>
        <w:pStyle w:val="65"/>
        <w:spacing w:after="156"/>
        <w:rPr>
          <w:color w:val="000000" w:themeColor="text1"/>
        </w:rPr>
      </w:pPr>
      <w:bookmarkStart w:id="165" w:name="_Toc182083004"/>
      <w:bookmarkStart w:id="166" w:name="_Toc185672285"/>
      <w:bookmarkStart w:id="167" w:name="_Toc185426301"/>
      <w:r>
        <w:rPr>
          <w:rFonts w:hint="eastAsia"/>
          <w:color w:val="000000" w:themeColor="text1"/>
          <w:spacing w:val="105"/>
        </w:rPr>
        <w:t>参考文</w:t>
      </w:r>
      <w:r>
        <w:rPr>
          <w:rFonts w:hint="eastAsia"/>
          <w:color w:val="000000" w:themeColor="text1"/>
        </w:rPr>
        <w:t>献</w:t>
      </w:r>
      <w:bookmarkEnd w:id="165"/>
      <w:bookmarkEnd w:id="166"/>
      <w:bookmarkEnd w:id="167"/>
    </w:p>
    <w:p w14:paraId="5AB783B7">
      <w:pPr>
        <w:pStyle w:val="58"/>
        <w:ind w:firstLine="420"/>
        <w:jc w:val="left"/>
        <w:rPr>
          <w:color w:val="000000" w:themeColor="text1"/>
          <w:szCs w:val="21"/>
        </w:rPr>
      </w:pPr>
      <w:r>
        <w:rPr>
          <w:rFonts w:hint="eastAsia"/>
          <w:color w:val="000000" w:themeColor="text1"/>
          <w:szCs w:val="21"/>
        </w:rPr>
        <w:t>［1］《中华人民共和国特种设备安全法》中华人民共和国主席令第4号</w:t>
      </w:r>
    </w:p>
    <w:p w14:paraId="36365BD2">
      <w:pPr>
        <w:pStyle w:val="58"/>
        <w:ind w:firstLine="420"/>
        <w:jc w:val="left"/>
        <w:rPr>
          <w:color w:val="000000" w:themeColor="text1"/>
          <w:szCs w:val="21"/>
        </w:rPr>
      </w:pPr>
      <w:r>
        <w:rPr>
          <w:rFonts w:hint="eastAsia"/>
          <w:color w:val="000000" w:themeColor="text1"/>
          <w:szCs w:val="21"/>
        </w:rPr>
        <w:t>［2］《国务院关于修改</w:t>
      </w:r>
      <w:r>
        <w:rPr>
          <w:color w:val="000000" w:themeColor="text1"/>
          <w:szCs w:val="21"/>
        </w:rPr>
        <w:t>&lt;</w:t>
      </w:r>
      <w:r>
        <w:rPr>
          <w:rFonts w:hint="eastAsia"/>
          <w:color w:val="000000" w:themeColor="text1"/>
          <w:szCs w:val="21"/>
        </w:rPr>
        <w:t>特种设备</w:t>
      </w:r>
      <w:r>
        <w:rPr>
          <w:color w:val="000000" w:themeColor="text1"/>
          <w:szCs w:val="21"/>
        </w:rPr>
        <w:t>安全监察条例&gt;的决定</w:t>
      </w:r>
      <w:r>
        <w:rPr>
          <w:rFonts w:hint="eastAsia"/>
          <w:color w:val="000000" w:themeColor="text1"/>
          <w:szCs w:val="21"/>
        </w:rPr>
        <w:t>》中华人民共和国国务院令第549号</w:t>
      </w:r>
    </w:p>
    <w:p w14:paraId="562E74E1">
      <w:pPr>
        <w:pStyle w:val="58"/>
        <w:ind w:firstLine="420"/>
        <w:jc w:val="left"/>
        <w:rPr>
          <w:color w:val="000000" w:themeColor="text1"/>
          <w:szCs w:val="21"/>
        </w:rPr>
      </w:pPr>
      <w:r>
        <w:rPr>
          <w:rFonts w:hint="eastAsia"/>
          <w:color w:val="000000" w:themeColor="text1"/>
          <w:szCs w:val="21"/>
        </w:rPr>
        <w:t>［3］《中华人民共和国安全生产法》中华人民共和国主席令第88号</w:t>
      </w:r>
    </w:p>
    <w:p w14:paraId="5513C0EA">
      <w:pPr>
        <w:pStyle w:val="58"/>
        <w:ind w:firstLine="420"/>
        <w:jc w:val="left"/>
        <w:rPr>
          <w:color w:val="000000" w:themeColor="text1"/>
          <w:szCs w:val="21"/>
        </w:rPr>
      </w:pPr>
      <w:r>
        <w:rPr>
          <w:rFonts w:hint="eastAsia"/>
          <w:color w:val="000000" w:themeColor="text1"/>
          <w:szCs w:val="21"/>
        </w:rPr>
        <w:t>［4］《关于实施遏制重大特大事故工作指南构建安全风险分级管控和隐患排查治理双重预防机制的意见》国务院安委办2016年10月9日</w:t>
      </w:r>
    </w:p>
    <w:p w14:paraId="7C2695EC">
      <w:pPr>
        <w:pStyle w:val="58"/>
        <w:ind w:firstLine="420"/>
        <w:jc w:val="left"/>
        <w:rPr>
          <w:rFonts w:hAnsi="宋体"/>
          <w:color w:val="000000" w:themeColor="text1"/>
          <w:szCs w:val="21"/>
        </w:rPr>
      </w:pPr>
      <w:r>
        <w:rPr>
          <w:rFonts w:hint="eastAsia"/>
          <w:color w:val="000000" w:themeColor="text1"/>
          <w:szCs w:val="21"/>
        </w:rPr>
        <w:t>［5］</w:t>
      </w:r>
      <w:r>
        <w:rPr>
          <w:rFonts w:hint="eastAsia" w:hAnsi="宋体"/>
          <w:color w:val="000000" w:themeColor="text1"/>
          <w:szCs w:val="21"/>
        </w:rPr>
        <w:t>《特种设备使用单位落实使用安全主体责任监督管理规定》国家市场监督管理总局令第74号</w:t>
      </w:r>
    </w:p>
    <w:p w14:paraId="102A5F8A">
      <w:pPr>
        <w:pStyle w:val="58"/>
        <w:ind w:firstLine="420"/>
        <w:rPr>
          <w:color w:val="000000" w:themeColor="text1"/>
        </w:rPr>
      </w:pPr>
      <w:r>
        <w:rPr>
          <w:rFonts w:hint="eastAsia" w:hAnsi="宋体"/>
          <w:color w:val="000000" w:themeColor="text1"/>
        </w:rPr>
        <w:t>［</w:t>
      </w:r>
      <w:r>
        <w:rPr>
          <w:rFonts w:hint="eastAsia" w:hAnsi="宋体"/>
          <w:color w:val="000000" w:themeColor="text1"/>
          <w:lang w:val="en-US" w:eastAsia="zh-CN"/>
        </w:rPr>
        <w:t>6</w:t>
      </w:r>
      <w:r>
        <w:rPr>
          <w:rFonts w:hint="eastAsia" w:hAnsi="宋体"/>
          <w:color w:val="000000" w:themeColor="text1"/>
        </w:rPr>
        <w:t>］GB/T 23694  风险管理 术语</w:t>
      </w:r>
    </w:p>
    <w:p w14:paraId="0483507A">
      <w:pPr>
        <w:pStyle w:val="58"/>
        <w:ind w:firstLine="420"/>
        <w:rPr>
          <w:rFonts w:hint="eastAsia" w:hAnsi="宋体"/>
          <w:color w:val="000000" w:themeColor="text1"/>
        </w:rPr>
      </w:pPr>
      <w:r>
        <w:rPr>
          <w:rFonts w:hint="eastAsia"/>
          <w:color w:val="000000" w:themeColor="text1"/>
          <w:szCs w:val="21"/>
        </w:rPr>
        <w:t>［</w:t>
      </w:r>
      <w:r>
        <w:rPr>
          <w:rFonts w:hint="eastAsia"/>
          <w:color w:val="000000" w:themeColor="text1"/>
          <w:szCs w:val="21"/>
          <w:lang w:val="en-US" w:eastAsia="zh-CN"/>
        </w:rPr>
        <w:t>7</w:t>
      </w:r>
      <w:r>
        <w:rPr>
          <w:rFonts w:hint="eastAsia"/>
          <w:color w:val="000000" w:themeColor="text1"/>
          <w:szCs w:val="21"/>
        </w:rPr>
        <w:t>］</w:t>
      </w:r>
      <w:r>
        <w:rPr>
          <w:rFonts w:hint="eastAsia" w:hAnsi="宋体"/>
          <w:color w:val="000000" w:themeColor="text1"/>
        </w:rPr>
        <w:t>GB/T 27921  风险管理 风险评估技术</w:t>
      </w:r>
    </w:p>
    <w:p w14:paraId="5BF3B018">
      <w:pPr>
        <w:pStyle w:val="58"/>
        <w:ind w:firstLine="420"/>
        <w:rPr>
          <w:rFonts w:hint="eastAsia"/>
          <w:color w:val="000000" w:themeColor="text1"/>
          <w:szCs w:val="21"/>
          <w:lang w:val="en-US" w:eastAsia="zh-CN"/>
        </w:rPr>
      </w:pPr>
      <w:r>
        <w:rPr>
          <w:rFonts w:hint="eastAsia"/>
          <w:color w:val="000000" w:themeColor="text1"/>
          <w:szCs w:val="21"/>
        </w:rPr>
        <w:t>［</w:t>
      </w:r>
      <w:r>
        <w:rPr>
          <w:rFonts w:hint="eastAsia"/>
          <w:color w:val="000000" w:themeColor="text1"/>
          <w:szCs w:val="21"/>
          <w:lang w:val="en-US" w:eastAsia="zh-CN"/>
        </w:rPr>
        <w:t>8</w:t>
      </w:r>
      <w:r>
        <w:rPr>
          <w:rFonts w:hint="eastAsia"/>
          <w:color w:val="000000" w:themeColor="text1"/>
          <w:szCs w:val="21"/>
        </w:rPr>
        <w:t>］</w:t>
      </w:r>
      <w:r>
        <w:rPr>
          <w:rFonts w:hint="eastAsia"/>
          <w:color w:val="000000" w:themeColor="text1"/>
          <w:szCs w:val="21"/>
          <w:lang w:val="en-US" w:eastAsia="zh-CN"/>
        </w:rPr>
        <w:t>GB/T 31052.3  检查与维护规程 第3部分：塔式起重机</w:t>
      </w:r>
    </w:p>
    <w:p w14:paraId="0DC0C683">
      <w:pPr>
        <w:pStyle w:val="58"/>
        <w:ind w:firstLine="420"/>
        <w:rPr>
          <w:rFonts w:hint="eastAsia"/>
          <w:color w:val="000000" w:themeColor="text1"/>
          <w:szCs w:val="21"/>
          <w:lang w:val="en-US" w:eastAsia="zh-CN"/>
        </w:rPr>
      </w:pPr>
      <w:r>
        <w:rPr>
          <w:rFonts w:hint="eastAsia"/>
          <w:color w:val="000000" w:themeColor="text1"/>
          <w:szCs w:val="21"/>
        </w:rPr>
        <w:t>［</w:t>
      </w:r>
      <w:r>
        <w:rPr>
          <w:rFonts w:hint="eastAsia"/>
          <w:color w:val="000000" w:themeColor="text1"/>
          <w:szCs w:val="21"/>
          <w:lang w:val="en-US" w:eastAsia="zh-CN"/>
        </w:rPr>
        <w:t>9</w:t>
      </w:r>
      <w:r>
        <w:rPr>
          <w:rFonts w:hint="eastAsia"/>
          <w:color w:val="000000" w:themeColor="text1"/>
          <w:szCs w:val="21"/>
        </w:rPr>
        <w:t>］</w:t>
      </w:r>
      <w:r>
        <w:rPr>
          <w:rFonts w:hint="eastAsia"/>
          <w:color w:val="000000" w:themeColor="text1"/>
          <w:szCs w:val="21"/>
          <w:lang w:val="en-US" w:eastAsia="zh-CN"/>
        </w:rPr>
        <w:t>GB/T 28264   起重机械  安全监控管理系统</w:t>
      </w:r>
    </w:p>
    <w:p w14:paraId="75544483">
      <w:pPr>
        <w:pStyle w:val="58"/>
        <w:ind w:firstLine="420"/>
        <w:rPr>
          <w:rFonts w:hint="eastAsia"/>
          <w:color w:val="000000" w:themeColor="text1"/>
          <w:szCs w:val="21"/>
          <w:lang w:val="en-US" w:eastAsia="zh-CN"/>
        </w:rPr>
      </w:pPr>
      <w:r>
        <w:rPr>
          <w:rFonts w:hint="eastAsia"/>
          <w:color w:val="000000" w:themeColor="text1"/>
          <w:szCs w:val="21"/>
        </w:rPr>
        <w:t>［</w:t>
      </w:r>
      <w:r>
        <w:rPr>
          <w:rFonts w:hint="eastAsia"/>
          <w:color w:val="000000" w:themeColor="text1"/>
          <w:szCs w:val="21"/>
          <w:lang w:val="en-US" w:eastAsia="zh-CN"/>
        </w:rPr>
        <w:t>10</w:t>
      </w:r>
      <w:r>
        <w:rPr>
          <w:rFonts w:hint="eastAsia"/>
          <w:color w:val="000000" w:themeColor="text1"/>
          <w:szCs w:val="21"/>
        </w:rPr>
        <w:t>］</w:t>
      </w:r>
      <w:r>
        <w:rPr>
          <w:rFonts w:hint="eastAsia"/>
          <w:color w:val="000000" w:themeColor="text1"/>
          <w:szCs w:val="21"/>
          <w:lang w:val="en-US" w:eastAsia="zh-CN"/>
        </w:rPr>
        <w:t>GB/T5031  塔式起重机</w:t>
      </w:r>
    </w:p>
    <w:p w14:paraId="422168C2">
      <w:pPr>
        <w:pStyle w:val="58"/>
        <w:ind w:firstLine="420"/>
        <w:rPr>
          <w:rFonts w:hint="eastAsia"/>
          <w:color w:val="000000" w:themeColor="text1"/>
          <w:szCs w:val="21"/>
          <w:lang w:val="en-US" w:eastAsia="zh-CN"/>
        </w:rPr>
      </w:pPr>
      <w:r>
        <w:rPr>
          <w:rFonts w:hint="eastAsia"/>
          <w:color w:val="000000" w:themeColor="text1"/>
          <w:szCs w:val="21"/>
        </w:rPr>
        <w:t>［</w:t>
      </w:r>
      <w:r>
        <w:rPr>
          <w:rFonts w:hint="eastAsia"/>
          <w:color w:val="000000" w:themeColor="text1"/>
          <w:szCs w:val="21"/>
          <w:lang w:val="en-US" w:eastAsia="zh-CN"/>
        </w:rPr>
        <w:t>11</w:t>
      </w:r>
      <w:r>
        <w:rPr>
          <w:rFonts w:hint="eastAsia"/>
          <w:color w:val="000000" w:themeColor="text1"/>
          <w:szCs w:val="21"/>
        </w:rPr>
        <w:t>］</w:t>
      </w:r>
      <w:r>
        <w:rPr>
          <w:rFonts w:hint="eastAsia"/>
          <w:color w:val="000000" w:themeColor="text1"/>
          <w:szCs w:val="21"/>
          <w:lang w:val="en-US" w:eastAsia="zh-CN"/>
        </w:rPr>
        <w:t>GB 5144  塔式起重机安全规程</w:t>
      </w:r>
    </w:p>
    <w:p w14:paraId="75313E70">
      <w:pPr>
        <w:pStyle w:val="58"/>
        <w:ind w:firstLine="420"/>
        <w:rPr>
          <w:rFonts w:hint="eastAsia" w:hAnsi="宋体"/>
          <w:color w:val="000000" w:themeColor="text1"/>
        </w:rPr>
      </w:pPr>
      <w:r>
        <w:rPr>
          <w:rFonts w:hint="eastAsia"/>
          <w:color w:val="000000" w:themeColor="text1"/>
          <w:szCs w:val="21"/>
        </w:rPr>
        <w:t>［</w:t>
      </w:r>
      <w:r>
        <w:rPr>
          <w:rFonts w:hint="eastAsia"/>
          <w:color w:val="000000" w:themeColor="text1"/>
          <w:szCs w:val="21"/>
          <w:lang w:val="en-US" w:eastAsia="zh-CN"/>
        </w:rPr>
        <w:t>12</w:t>
      </w:r>
      <w:r>
        <w:rPr>
          <w:rFonts w:hint="eastAsia"/>
          <w:color w:val="000000" w:themeColor="text1"/>
          <w:szCs w:val="21"/>
        </w:rPr>
        <w:t>］</w:t>
      </w:r>
      <w:r>
        <w:rPr>
          <w:rFonts w:hint="eastAsia" w:hAnsi="宋体"/>
          <w:color w:val="000000" w:themeColor="text1"/>
        </w:rPr>
        <w:t xml:space="preserve">GB/T </w:t>
      </w:r>
      <w:r>
        <w:rPr>
          <w:rFonts w:hint="eastAsia" w:hAnsi="宋体"/>
          <w:color w:val="000000" w:themeColor="text1"/>
          <w:lang w:val="en-US" w:eastAsia="zh-CN"/>
        </w:rPr>
        <w:t>13752</w:t>
      </w:r>
      <w:r>
        <w:rPr>
          <w:rFonts w:hint="eastAsia" w:hAnsi="宋体"/>
          <w:color w:val="000000" w:themeColor="text1"/>
        </w:rPr>
        <w:t xml:space="preserve">  </w:t>
      </w:r>
      <w:r>
        <w:rPr>
          <w:rFonts w:hint="eastAsia" w:hAnsi="宋体"/>
          <w:color w:val="000000" w:themeColor="text1"/>
          <w:lang w:val="en-US" w:eastAsia="zh-CN"/>
        </w:rPr>
        <w:t>塔式起重机设计</w:t>
      </w:r>
      <w:r>
        <w:rPr>
          <w:rFonts w:hint="eastAsia" w:hAnsi="宋体"/>
          <w:color w:val="000000" w:themeColor="text1"/>
        </w:rPr>
        <w:t>规范</w:t>
      </w:r>
    </w:p>
    <w:p w14:paraId="39B6AE98">
      <w:pPr>
        <w:pStyle w:val="233"/>
        <w:rPr>
          <w:color w:val="000000" w:themeColor="text1"/>
        </w:rPr>
      </w:pPr>
      <w:r>
        <w:rPr>
          <w:rFonts w:hint="eastAsia"/>
          <w:color w:val="000000" w:themeColor="text1"/>
          <w:szCs w:val="21"/>
        </w:rPr>
        <w:t>［</w:t>
      </w:r>
      <w:r>
        <w:rPr>
          <w:rFonts w:hint="eastAsia"/>
          <w:color w:val="000000" w:themeColor="text1"/>
          <w:szCs w:val="21"/>
          <w:lang w:val="en-US" w:eastAsia="zh-CN"/>
        </w:rPr>
        <w:t>13</w:t>
      </w:r>
      <w:r>
        <w:rPr>
          <w:rFonts w:hint="eastAsia"/>
          <w:color w:val="000000" w:themeColor="text1"/>
          <w:szCs w:val="21"/>
        </w:rPr>
        <w:t>］</w:t>
      </w:r>
      <w:r>
        <w:rPr>
          <w:rFonts w:hint="eastAsia" w:hAnsi="宋体"/>
          <w:color w:val="000000" w:themeColor="text1"/>
        </w:rPr>
        <w:t>GB 45067  特种设备重大事故隐患判定准则</w:t>
      </w:r>
    </w:p>
    <w:p w14:paraId="2C5CB660">
      <w:pPr>
        <w:pStyle w:val="233"/>
        <w:rPr>
          <w:color w:val="000000" w:themeColor="text1"/>
        </w:rPr>
      </w:pPr>
      <w:r>
        <w:rPr>
          <w:rFonts w:hint="eastAsia"/>
          <w:color w:val="000000" w:themeColor="text1"/>
          <w:szCs w:val="21"/>
        </w:rPr>
        <w:t>［</w:t>
      </w:r>
      <w:r>
        <w:rPr>
          <w:rFonts w:hint="eastAsia"/>
          <w:color w:val="000000" w:themeColor="text1"/>
          <w:szCs w:val="21"/>
          <w:lang w:val="en-US" w:eastAsia="zh-CN"/>
        </w:rPr>
        <w:t>14</w:t>
      </w:r>
      <w:r>
        <w:rPr>
          <w:rFonts w:hint="eastAsia"/>
          <w:color w:val="000000" w:themeColor="text1"/>
          <w:szCs w:val="21"/>
        </w:rPr>
        <w:t>］</w:t>
      </w:r>
      <w:r>
        <w:rPr>
          <w:rFonts w:hint="eastAsia" w:hAnsi="宋体"/>
          <w:color w:val="000000" w:themeColor="text1"/>
        </w:rPr>
        <w:t>TSG 08  特种设备使用管理规则</w:t>
      </w:r>
    </w:p>
    <w:p w14:paraId="106FE30E">
      <w:pPr>
        <w:pStyle w:val="58"/>
        <w:ind w:firstLine="420"/>
        <w:rPr>
          <w:rFonts w:hint="default" w:hAnsi="宋体"/>
          <w:color w:val="000000" w:themeColor="text1"/>
          <w:lang w:val="en-US" w:eastAsia="zh-CN"/>
        </w:rPr>
      </w:pPr>
    </w:p>
    <w:bookmarkEnd w:id="164"/>
    <w:p w14:paraId="55974888">
      <w:pPr>
        <w:pStyle w:val="58"/>
        <w:ind w:firstLine="0" w:firstLineChars="0"/>
        <w:jc w:val="center"/>
        <w:rPr>
          <w:color w:val="000000" w:themeColor="text1"/>
        </w:rPr>
      </w:pPr>
      <w:bookmarkStart w:id="168" w:name="BookMark8"/>
      <w:r>
        <w:rPr>
          <w:color w:val="000000" w:themeColor="text1"/>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stretch>
                      <a:fillRect/>
                    </a:stretch>
                  </pic:blipFill>
                  <pic:spPr>
                    <a:xfrm>
                      <a:off x="0" y="0"/>
                      <a:ext cx="1485900" cy="317500"/>
                    </a:xfrm>
                    <a:prstGeom prst="rect">
                      <a:avLst/>
                    </a:prstGeom>
                  </pic:spPr>
                </pic:pic>
              </a:graphicData>
            </a:graphic>
          </wp:inline>
        </w:drawing>
      </w:r>
      <w:bookmarkEnd w:id="16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C91E2">
    <w:pPr>
      <w:pStyle w:val="19"/>
    </w:pPr>
    <w:r>
      <w:fldChar w:fldCharType="begin"/>
    </w:r>
    <w:r>
      <w:instrText xml:space="preserve">PAGE   \* MERGEFORMAT</w:instrText>
    </w:r>
    <w:r>
      <w:fldChar w:fldCharType="separate"/>
    </w:r>
    <w:r>
      <w:rPr>
        <w:lang w:val="zh-CN"/>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8CFD6">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1742C">
    <w:pPr>
      <w:pStyle w:val="54"/>
    </w:pPr>
    <w:r>
      <w:fldChar w:fldCharType="begin"/>
    </w:r>
    <w:r>
      <w:instrText xml:space="preserve">PAGE   \* MERGEFORMAT</w:instrText>
    </w:r>
    <w:r>
      <w:fldChar w:fldCharType="separate"/>
    </w:r>
    <w:r>
      <w:rPr>
        <w:lang w:val="zh-CN"/>
      </w:rPr>
      <w:t>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1B9E8">
    <w:pPr>
      <w:pStyle w:val="54"/>
    </w:pPr>
    <w:r>
      <w:fldChar w:fldCharType="begin"/>
    </w:r>
    <w:r>
      <w:instrText xml:space="preserve">PAGE   \* MERGEFORMAT</w:instrText>
    </w:r>
    <w:r>
      <w:fldChar w:fldCharType="separate"/>
    </w:r>
    <w:r>
      <w:rPr>
        <w:lang w:val="zh-CN"/>
      </w:rPr>
      <w:t>35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A36E">
    <w:pPr>
      <w:pStyle w:val="19"/>
    </w:pPr>
    <w:r>
      <w:fldChar w:fldCharType="begin"/>
    </w:r>
    <w:r>
      <w:instrText xml:space="preserve">PAGE   \* MERGEFORMAT</w:instrText>
    </w:r>
    <w:r>
      <w:fldChar w:fldCharType="separate"/>
    </w:r>
    <w:r>
      <w:rPr>
        <w:lang w:val="zh-CN"/>
      </w:rPr>
      <w:t>10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F03ED">
    <w:pPr>
      <w:pStyle w:val="54"/>
    </w:pPr>
    <w:r>
      <w:fldChar w:fldCharType="begin"/>
    </w:r>
    <w:r>
      <w:instrText xml:space="preserve">PAGE   \* MERGEFORMAT</w:instrText>
    </w:r>
    <w:r>
      <w:fldChar w:fldCharType="separate"/>
    </w:r>
    <w:r>
      <w:rPr>
        <w:lang w:val="zh-CN"/>
      </w:rPr>
      <w:t>41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306B1">
    <w:pPr>
      <w:pStyle w:val="19"/>
    </w:pPr>
    <w:r>
      <w:fldChar w:fldCharType="begin"/>
    </w:r>
    <w:r>
      <w:instrText xml:space="preserve">PAGE   \* MERGEFORMAT</w:instrText>
    </w:r>
    <w:r>
      <w:fldChar w:fldCharType="separate"/>
    </w:r>
    <w:r>
      <w:rPr>
        <w:lang w:val="zh-CN"/>
      </w:rPr>
      <w:t>40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996FD">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1369">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62045">
    <w:pPr>
      <w:pStyle w:val="63"/>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8DB21">
    <w:pPr>
      <w:pStyle w:val="20"/>
      <w:jc w:val="right"/>
      <w:rPr>
        <w:lang w:val="fr-FR"/>
      </w:rPr>
    </w:pPr>
    <w:r>
      <w:fldChar w:fldCharType="begin"/>
    </w:r>
    <w:r>
      <w:instrText xml:space="preserve"> STYLEREF  标准文件_文件编号  \* MERGEFORMAT </w:instrText>
    </w:r>
    <w:r>
      <w:fldChar w:fldCharType="separate"/>
    </w:r>
    <w:r>
      <w:t>DB 34/T XXXX—XXXX</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A8C7F">
    <w:pPr>
      <w:pStyle w:val="63"/>
    </w:pPr>
    <w:r>
      <w:pict>
        <v:shape id="_x0000_s1026" o:spid="_x0000_s1026" o:spt="202" type="#_x0000_t202" style="position:absolute;left:0pt;margin-left:751.15pt;margin-top:438.65pt;height:144pt;width:144pt;mso-position-horizontal-relative:page;mso-position-vertical-relative:page;mso-wrap-style:none;z-index:251659264;v-text-anchor:bottom;mso-width-relative:page;mso-height-relative:page;" filled="f" stroked="f" coordsize="21600,21600">
          <v:path/>
          <v:fill on="f" focussize="0,0"/>
          <v:stroke on="f" joinstyle="miter"/>
          <v:imagedata o:title=""/>
          <o:lock v:ext="edit"/>
          <v:textbox style="layout-flow:vertical-ideographic;mso-fit-shape-to-text:t;">
            <w:txbxContent>
              <w:p w14:paraId="0A662D99">
                <w:pPr>
                  <w:pStyle w:val="63"/>
                </w:pPr>
                <w:r>
                  <w:fldChar w:fldCharType="begin"/>
                </w:r>
                <w:r>
                  <w:instrText xml:space="preserve"> STYLEREF  标准文件_文件编号  \* MERGEFORMAT </w:instrText>
                </w:r>
                <w:r>
                  <w:fldChar w:fldCharType="separate"/>
                </w:r>
                <w:r>
                  <w:t>DB 34/T XXXX—XXXX</w:t>
                </w:r>
                <w:r>
                  <w:fldChar w:fldCharType="end"/>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4AEB9">
    <w:pPr>
      <w:pStyle w:val="20"/>
      <w:jc w:val="center"/>
      <w:rPr>
        <w:lang w:val="fr-FR"/>
      </w:rPr>
    </w:pPr>
    <w:r>
      <w:fldChar w:fldCharType="begin"/>
    </w:r>
    <w:r>
      <w:instrText xml:space="preserve"> STYLEREF  标准文件_文件编号  \* MERGEFORMAT </w:instrText>
    </w:r>
    <w:r>
      <w:fldChar w:fldCharType="separate"/>
    </w:r>
    <w:r>
      <w:t>DB 34/T XXXX—XXXX</w:t>
    </w:r>
    <w:r>
      <w:rPr>
        <w:lang w:val="fr-F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858C">
    <w:pPr>
      <w:pStyle w:val="63"/>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2491F">
    <w:pPr>
      <w:pStyle w:val="20"/>
      <w:jc w:val="right"/>
      <w:rPr>
        <w:lang w:val="fr-FR"/>
      </w:rPr>
    </w:pPr>
    <w:r>
      <w:fldChar w:fldCharType="begin"/>
    </w:r>
    <w:r>
      <w:instrText xml:space="preserve"> STYLEREF  标准文件_文件编号  \* MERGEFORMAT </w:instrText>
    </w:r>
    <w:r>
      <w:fldChar w:fldCharType="separate"/>
    </w:r>
    <w:r>
      <w:t>DB 34/T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7B742"/>
    <w:multiLevelType w:val="singleLevel"/>
    <w:tmpl w:val="8047B742"/>
    <w:lvl w:ilvl="0" w:tentative="0">
      <w:start w:val="1"/>
      <w:numFmt w:val="decimal"/>
      <w:lvlText w:val="%1."/>
      <w:lvlJc w:val="left"/>
      <w:pPr>
        <w:tabs>
          <w:tab w:val="left" w:pos="312"/>
        </w:tabs>
      </w:pPr>
    </w:lvl>
  </w:abstractNum>
  <w:abstractNum w:abstractNumId="1">
    <w:nsid w:val="80E3C42A"/>
    <w:multiLevelType w:val="singleLevel"/>
    <w:tmpl w:val="80E3C42A"/>
    <w:lvl w:ilvl="0" w:tentative="0">
      <w:start w:val="1"/>
      <w:numFmt w:val="decimal"/>
      <w:lvlText w:val="%1."/>
      <w:lvlJc w:val="left"/>
      <w:pPr>
        <w:tabs>
          <w:tab w:val="left" w:pos="312"/>
        </w:tabs>
      </w:pPr>
    </w:lvl>
  </w:abstractNum>
  <w:abstractNum w:abstractNumId="2">
    <w:nsid w:val="84EDB853"/>
    <w:multiLevelType w:val="singleLevel"/>
    <w:tmpl w:val="84EDB853"/>
    <w:lvl w:ilvl="0" w:tentative="0">
      <w:start w:val="1"/>
      <w:numFmt w:val="decimal"/>
      <w:lvlText w:val="%1."/>
      <w:lvlJc w:val="left"/>
      <w:pPr>
        <w:tabs>
          <w:tab w:val="left" w:pos="312"/>
        </w:tabs>
      </w:pPr>
    </w:lvl>
  </w:abstractNum>
  <w:abstractNum w:abstractNumId="3">
    <w:nsid w:val="A7A0B281"/>
    <w:multiLevelType w:val="singleLevel"/>
    <w:tmpl w:val="A7A0B281"/>
    <w:lvl w:ilvl="0" w:tentative="0">
      <w:start w:val="1"/>
      <w:numFmt w:val="decimal"/>
      <w:lvlText w:val="%1."/>
      <w:lvlJc w:val="left"/>
      <w:pPr>
        <w:tabs>
          <w:tab w:val="left" w:pos="312"/>
        </w:tabs>
      </w:pPr>
    </w:lvl>
  </w:abstractNum>
  <w:abstractNum w:abstractNumId="4">
    <w:nsid w:val="A7D341AD"/>
    <w:multiLevelType w:val="singleLevel"/>
    <w:tmpl w:val="A7D341AD"/>
    <w:lvl w:ilvl="0" w:tentative="0">
      <w:start w:val="1"/>
      <w:numFmt w:val="decimal"/>
      <w:lvlText w:val="%1."/>
      <w:lvlJc w:val="left"/>
      <w:pPr>
        <w:tabs>
          <w:tab w:val="left" w:pos="312"/>
        </w:tabs>
      </w:pPr>
    </w:lvl>
  </w:abstractNum>
  <w:abstractNum w:abstractNumId="5">
    <w:nsid w:val="AEF13C35"/>
    <w:multiLevelType w:val="singleLevel"/>
    <w:tmpl w:val="AEF13C35"/>
    <w:lvl w:ilvl="0" w:tentative="0">
      <w:start w:val="1"/>
      <w:numFmt w:val="decimal"/>
      <w:lvlText w:val="%1."/>
      <w:lvlJc w:val="left"/>
      <w:pPr>
        <w:tabs>
          <w:tab w:val="left" w:pos="312"/>
        </w:tabs>
      </w:pPr>
    </w:lvl>
  </w:abstractNum>
  <w:abstractNum w:abstractNumId="6">
    <w:nsid w:val="B4E191A0"/>
    <w:multiLevelType w:val="singleLevel"/>
    <w:tmpl w:val="B4E191A0"/>
    <w:lvl w:ilvl="0" w:tentative="0">
      <w:start w:val="1"/>
      <w:numFmt w:val="decimal"/>
      <w:lvlText w:val="%1."/>
      <w:lvlJc w:val="left"/>
      <w:pPr>
        <w:tabs>
          <w:tab w:val="left" w:pos="312"/>
        </w:tabs>
      </w:pPr>
    </w:lvl>
  </w:abstractNum>
  <w:abstractNum w:abstractNumId="7">
    <w:nsid w:val="C4A80337"/>
    <w:multiLevelType w:val="singleLevel"/>
    <w:tmpl w:val="C4A80337"/>
    <w:lvl w:ilvl="0" w:tentative="0">
      <w:start w:val="1"/>
      <w:numFmt w:val="decimal"/>
      <w:lvlText w:val="%1."/>
      <w:lvlJc w:val="left"/>
      <w:pPr>
        <w:tabs>
          <w:tab w:val="left" w:pos="312"/>
        </w:tabs>
      </w:pPr>
    </w:lvl>
  </w:abstractNum>
  <w:abstractNum w:abstractNumId="8">
    <w:nsid w:val="D3F8089C"/>
    <w:multiLevelType w:val="singleLevel"/>
    <w:tmpl w:val="D3F8089C"/>
    <w:lvl w:ilvl="0" w:tentative="0">
      <w:start w:val="1"/>
      <w:numFmt w:val="decimal"/>
      <w:lvlText w:val="%1."/>
      <w:lvlJc w:val="left"/>
      <w:pPr>
        <w:tabs>
          <w:tab w:val="left" w:pos="312"/>
        </w:tabs>
      </w:pPr>
    </w:lvl>
  </w:abstractNum>
  <w:abstractNum w:abstractNumId="9">
    <w:nsid w:val="D58261B0"/>
    <w:multiLevelType w:val="singleLevel"/>
    <w:tmpl w:val="D58261B0"/>
    <w:lvl w:ilvl="0" w:tentative="0">
      <w:start w:val="1"/>
      <w:numFmt w:val="decimal"/>
      <w:lvlText w:val="%1."/>
      <w:lvlJc w:val="left"/>
      <w:pPr>
        <w:tabs>
          <w:tab w:val="left" w:pos="312"/>
        </w:tabs>
      </w:pPr>
    </w:lvl>
  </w:abstractNum>
  <w:abstractNum w:abstractNumId="10">
    <w:nsid w:val="E39A920D"/>
    <w:multiLevelType w:val="singleLevel"/>
    <w:tmpl w:val="E39A920D"/>
    <w:lvl w:ilvl="0" w:tentative="0">
      <w:start w:val="1"/>
      <w:numFmt w:val="decimal"/>
      <w:lvlText w:val="%1."/>
      <w:lvlJc w:val="left"/>
      <w:pPr>
        <w:tabs>
          <w:tab w:val="left" w:pos="312"/>
        </w:tabs>
      </w:pPr>
    </w:lvl>
  </w:abstractNum>
  <w:abstractNum w:abstractNumId="11">
    <w:nsid w:val="E68590C8"/>
    <w:multiLevelType w:val="singleLevel"/>
    <w:tmpl w:val="E68590C8"/>
    <w:lvl w:ilvl="0" w:tentative="0">
      <w:start w:val="1"/>
      <w:numFmt w:val="decimal"/>
      <w:lvlText w:val="%1."/>
      <w:lvlJc w:val="left"/>
      <w:pPr>
        <w:tabs>
          <w:tab w:val="left" w:pos="312"/>
        </w:tabs>
      </w:pPr>
    </w:lvl>
  </w:abstractNum>
  <w:abstractNum w:abstractNumId="12">
    <w:nsid w:val="F0AEA303"/>
    <w:multiLevelType w:val="singleLevel"/>
    <w:tmpl w:val="F0AEA303"/>
    <w:lvl w:ilvl="0" w:tentative="0">
      <w:start w:val="1"/>
      <w:numFmt w:val="decimal"/>
      <w:lvlText w:val="%1."/>
      <w:lvlJc w:val="left"/>
      <w:pPr>
        <w:tabs>
          <w:tab w:val="left" w:pos="312"/>
        </w:tabs>
      </w:pPr>
    </w:lvl>
  </w:abstractNum>
  <w:abstractNum w:abstractNumId="13">
    <w:nsid w:val="F22D0E29"/>
    <w:multiLevelType w:val="singleLevel"/>
    <w:tmpl w:val="F22D0E29"/>
    <w:lvl w:ilvl="0" w:tentative="0">
      <w:start w:val="1"/>
      <w:numFmt w:val="decimal"/>
      <w:lvlText w:val="%1."/>
      <w:lvlJc w:val="left"/>
      <w:pPr>
        <w:tabs>
          <w:tab w:val="left" w:pos="312"/>
        </w:tabs>
      </w:pPr>
    </w:lvl>
  </w:abstractNum>
  <w:abstractNum w:abstractNumId="14">
    <w:nsid w:val="FF53B2A4"/>
    <w:multiLevelType w:val="singleLevel"/>
    <w:tmpl w:val="FF53B2A4"/>
    <w:lvl w:ilvl="0" w:tentative="0">
      <w:start w:val="1"/>
      <w:numFmt w:val="decimal"/>
      <w:lvlText w:val="%1."/>
      <w:lvlJc w:val="left"/>
      <w:pPr>
        <w:tabs>
          <w:tab w:val="left" w:pos="312"/>
        </w:tabs>
      </w:pPr>
    </w:lvl>
  </w:abstractNum>
  <w:abstractNum w:abstractNumId="15">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6">
    <w:nsid w:val="02FDF3ED"/>
    <w:multiLevelType w:val="singleLevel"/>
    <w:tmpl w:val="02FDF3ED"/>
    <w:lvl w:ilvl="0" w:tentative="0">
      <w:start w:val="1"/>
      <w:numFmt w:val="decimal"/>
      <w:lvlText w:val="%1."/>
      <w:lvlJc w:val="left"/>
      <w:pPr>
        <w:tabs>
          <w:tab w:val="left" w:pos="312"/>
        </w:tabs>
      </w:pPr>
    </w:lvl>
  </w:abstractNum>
  <w:abstractNum w:abstractNumId="17">
    <w:nsid w:val="03AC30DB"/>
    <w:multiLevelType w:val="singleLevel"/>
    <w:tmpl w:val="03AC30DB"/>
    <w:lvl w:ilvl="0" w:tentative="0">
      <w:start w:val="1"/>
      <w:numFmt w:val="decimal"/>
      <w:lvlText w:val="%1."/>
      <w:lvlJc w:val="left"/>
      <w:pPr>
        <w:tabs>
          <w:tab w:val="left" w:pos="312"/>
        </w:tabs>
      </w:pPr>
    </w:lvl>
  </w:abstractNum>
  <w:abstractNum w:abstractNumId="18">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04FE4B0C"/>
    <w:multiLevelType w:val="singleLevel"/>
    <w:tmpl w:val="04FE4B0C"/>
    <w:lvl w:ilvl="0" w:tentative="0">
      <w:start w:val="1"/>
      <w:numFmt w:val="decimal"/>
      <w:lvlText w:val="%1."/>
      <w:lvlJc w:val="left"/>
      <w:pPr>
        <w:tabs>
          <w:tab w:val="left" w:pos="312"/>
        </w:tabs>
      </w:pPr>
    </w:lvl>
  </w:abstractNum>
  <w:abstractNum w:abstractNumId="20">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3">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5">
    <w:nsid w:val="0FC5F0E0"/>
    <w:multiLevelType w:val="singleLevel"/>
    <w:tmpl w:val="0FC5F0E0"/>
    <w:lvl w:ilvl="0" w:tentative="0">
      <w:start w:val="1"/>
      <w:numFmt w:val="decimal"/>
      <w:lvlText w:val="%1."/>
      <w:lvlJc w:val="left"/>
      <w:pPr>
        <w:tabs>
          <w:tab w:val="left" w:pos="312"/>
        </w:tabs>
      </w:pPr>
    </w:lvl>
  </w:abstractNum>
  <w:abstractNum w:abstractNumId="26">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9">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0">
    <w:nsid w:val="2FCD4CBE"/>
    <w:multiLevelType w:val="singleLevel"/>
    <w:tmpl w:val="2FCD4CBE"/>
    <w:lvl w:ilvl="0" w:tentative="0">
      <w:start w:val="1"/>
      <w:numFmt w:val="decimal"/>
      <w:lvlText w:val="%1."/>
      <w:lvlJc w:val="left"/>
      <w:pPr>
        <w:tabs>
          <w:tab w:val="left" w:pos="312"/>
        </w:tabs>
      </w:pPr>
    </w:lvl>
  </w:abstractNum>
  <w:abstractNum w:abstractNumId="3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37E0BB0C"/>
    <w:multiLevelType w:val="singleLevel"/>
    <w:tmpl w:val="37E0BB0C"/>
    <w:lvl w:ilvl="0" w:tentative="0">
      <w:start w:val="1"/>
      <w:numFmt w:val="decimal"/>
      <w:lvlText w:val="%1."/>
      <w:lvlJc w:val="left"/>
      <w:pPr>
        <w:tabs>
          <w:tab w:val="left" w:pos="312"/>
        </w:tabs>
      </w:pPr>
    </w:lvl>
  </w:abstractNum>
  <w:abstractNum w:abstractNumId="3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4">
    <w:nsid w:val="46B72D52"/>
    <w:multiLevelType w:val="singleLevel"/>
    <w:tmpl w:val="46B72D52"/>
    <w:lvl w:ilvl="0" w:tentative="0">
      <w:start w:val="1"/>
      <w:numFmt w:val="decimal"/>
      <w:lvlText w:val="%1."/>
      <w:lvlJc w:val="left"/>
      <w:pPr>
        <w:tabs>
          <w:tab w:val="left" w:pos="312"/>
        </w:tabs>
      </w:pPr>
    </w:lvl>
  </w:abstractNum>
  <w:abstractNum w:abstractNumId="3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6">
    <w:nsid w:val="4B1A537F"/>
    <w:multiLevelType w:val="singleLevel"/>
    <w:tmpl w:val="4B1A537F"/>
    <w:lvl w:ilvl="0" w:tentative="0">
      <w:start w:val="1"/>
      <w:numFmt w:val="decimal"/>
      <w:lvlText w:val="%1."/>
      <w:lvlJc w:val="left"/>
      <w:pPr>
        <w:tabs>
          <w:tab w:val="left" w:pos="312"/>
        </w:tabs>
      </w:pPr>
    </w:lvl>
  </w:abstractNum>
  <w:abstractNum w:abstractNumId="37">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8">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9">
    <w:nsid w:val="4F932662"/>
    <w:multiLevelType w:val="singleLevel"/>
    <w:tmpl w:val="4F932662"/>
    <w:lvl w:ilvl="0" w:tentative="0">
      <w:start w:val="1"/>
      <w:numFmt w:val="decimal"/>
      <w:lvlText w:val="%1."/>
      <w:lvlJc w:val="left"/>
      <w:pPr>
        <w:tabs>
          <w:tab w:val="left" w:pos="312"/>
        </w:tabs>
      </w:pPr>
    </w:lvl>
  </w:abstractNum>
  <w:abstractNum w:abstractNumId="40">
    <w:nsid w:val="52BE950E"/>
    <w:multiLevelType w:val="singleLevel"/>
    <w:tmpl w:val="52BE950E"/>
    <w:lvl w:ilvl="0" w:tentative="0">
      <w:start w:val="1"/>
      <w:numFmt w:val="decimal"/>
      <w:lvlText w:val="%1."/>
      <w:lvlJc w:val="left"/>
      <w:pPr>
        <w:tabs>
          <w:tab w:val="left" w:pos="312"/>
        </w:tabs>
      </w:pPr>
    </w:lvl>
  </w:abstractNum>
  <w:abstractNum w:abstractNumId="41">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42">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3">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4">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58CE79BF"/>
    <w:multiLevelType w:val="singleLevel"/>
    <w:tmpl w:val="58CE79BF"/>
    <w:lvl w:ilvl="0" w:tentative="0">
      <w:start w:val="1"/>
      <w:numFmt w:val="decimal"/>
      <w:lvlText w:val="%1."/>
      <w:lvlJc w:val="left"/>
      <w:pPr>
        <w:tabs>
          <w:tab w:val="left" w:pos="312"/>
        </w:tabs>
      </w:pPr>
    </w:lvl>
  </w:abstractNum>
  <w:abstractNum w:abstractNumId="46">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8">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9">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0">
    <w:nsid w:val="681CE6B9"/>
    <w:multiLevelType w:val="singleLevel"/>
    <w:tmpl w:val="681CE6B9"/>
    <w:lvl w:ilvl="0" w:tentative="0">
      <w:start w:val="1"/>
      <w:numFmt w:val="decimal"/>
      <w:lvlText w:val="%1."/>
      <w:lvlJc w:val="left"/>
      <w:pPr>
        <w:tabs>
          <w:tab w:val="left" w:pos="312"/>
        </w:tabs>
      </w:pPr>
    </w:lvl>
  </w:abstractNum>
  <w:abstractNum w:abstractNumId="51">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2">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3">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5">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6">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7">
    <w:nsid w:val="73EC6011"/>
    <w:multiLevelType w:val="singleLevel"/>
    <w:tmpl w:val="73EC6011"/>
    <w:lvl w:ilvl="0" w:tentative="0">
      <w:start w:val="1"/>
      <w:numFmt w:val="decimal"/>
      <w:lvlText w:val="%1."/>
      <w:lvlJc w:val="left"/>
      <w:pPr>
        <w:tabs>
          <w:tab w:val="left" w:pos="312"/>
        </w:tabs>
      </w:pPr>
    </w:lvl>
  </w:abstractNum>
  <w:abstractNum w:abstractNumId="58">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5"/>
  </w:num>
  <w:num w:numId="2">
    <w:abstractNumId w:val="54"/>
  </w:num>
  <w:num w:numId="3">
    <w:abstractNumId w:val="23"/>
  </w:num>
  <w:num w:numId="4">
    <w:abstractNumId w:val="49"/>
  </w:num>
  <w:num w:numId="5">
    <w:abstractNumId w:val="43"/>
  </w:num>
  <w:num w:numId="6">
    <w:abstractNumId w:val="35"/>
  </w:num>
  <w:num w:numId="7">
    <w:abstractNumId w:val="27"/>
  </w:num>
  <w:num w:numId="8">
    <w:abstractNumId w:val="21"/>
  </w:num>
  <w:num w:numId="9">
    <w:abstractNumId w:val="28"/>
  </w:num>
  <w:num w:numId="10">
    <w:abstractNumId w:val="41"/>
  </w:num>
  <w:num w:numId="11">
    <w:abstractNumId w:val="52"/>
  </w:num>
  <w:num w:numId="12">
    <w:abstractNumId w:val="31"/>
  </w:num>
  <w:num w:numId="13">
    <w:abstractNumId w:val="33"/>
  </w:num>
  <w:num w:numId="14">
    <w:abstractNumId w:val="26"/>
  </w:num>
  <w:num w:numId="15">
    <w:abstractNumId w:val="44"/>
  </w:num>
  <w:num w:numId="16">
    <w:abstractNumId w:val="47"/>
  </w:num>
  <w:num w:numId="17">
    <w:abstractNumId w:val="42"/>
  </w:num>
  <w:num w:numId="18">
    <w:abstractNumId w:val="56"/>
  </w:num>
  <w:num w:numId="19">
    <w:abstractNumId w:val="38"/>
  </w:num>
  <w:num w:numId="20">
    <w:abstractNumId w:val="18"/>
  </w:num>
  <w:num w:numId="21">
    <w:abstractNumId w:val="29"/>
  </w:num>
  <w:num w:numId="22">
    <w:abstractNumId w:val="58"/>
  </w:num>
  <w:num w:numId="23">
    <w:abstractNumId w:val="46"/>
  </w:num>
  <w:num w:numId="24">
    <w:abstractNumId w:val="24"/>
  </w:num>
  <w:num w:numId="25">
    <w:abstractNumId w:val="53"/>
  </w:num>
  <w:num w:numId="26">
    <w:abstractNumId w:val="55"/>
  </w:num>
  <w:num w:numId="27">
    <w:abstractNumId w:val="20"/>
  </w:num>
  <w:num w:numId="28">
    <w:abstractNumId w:val="22"/>
  </w:num>
  <w:num w:numId="29">
    <w:abstractNumId w:val="37"/>
  </w:num>
  <w:num w:numId="30">
    <w:abstractNumId w:val="51"/>
  </w:num>
  <w:num w:numId="31">
    <w:abstractNumId w:val="4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num>
  <w:num w:numId="34">
    <w:abstractNumId w:val="0"/>
  </w:num>
  <w:num w:numId="35">
    <w:abstractNumId w:val="17"/>
  </w:num>
  <w:num w:numId="36">
    <w:abstractNumId w:val="40"/>
  </w:num>
  <w:num w:numId="37">
    <w:abstractNumId w:val="19"/>
  </w:num>
  <w:num w:numId="38">
    <w:abstractNumId w:val="2"/>
  </w:num>
  <w:num w:numId="39">
    <w:abstractNumId w:val="8"/>
  </w:num>
  <w:num w:numId="40">
    <w:abstractNumId w:val="30"/>
  </w:num>
  <w:num w:numId="41">
    <w:abstractNumId w:val="13"/>
  </w:num>
  <w:num w:numId="42">
    <w:abstractNumId w:val="7"/>
  </w:num>
  <w:num w:numId="43">
    <w:abstractNumId w:val="10"/>
  </w:num>
  <w:num w:numId="44">
    <w:abstractNumId w:val="4"/>
  </w:num>
  <w:num w:numId="45">
    <w:abstractNumId w:val="36"/>
  </w:num>
  <w:num w:numId="46">
    <w:abstractNumId w:val="57"/>
  </w:num>
  <w:num w:numId="47">
    <w:abstractNumId w:val="12"/>
  </w:num>
  <w:num w:numId="48">
    <w:abstractNumId w:val="3"/>
  </w:num>
  <w:num w:numId="49">
    <w:abstractNumId w:val="25"/>
  </w:num>
  <w:num w:numId="50">
    <w:abstractNumId w:val="11"/>
  </w:num>
  <w:num w:numId="51">
    <w:abstractNumId w:val="14"/>
  </w:num>
  <w:num w:numId="52">
    <w:abstractNumId w:val="32"/>
  </w:num>
  <w:num w:numId="53">
    <w:abstractNumId w:val="1"/>
  </w:num>
  <w:num w:numId="54">
    <w:abstractNumId w:val="5"/>
  </w:num>
  <w:num w:numId="55">
    <w:abstractNumId w:val="9"/>
  </w:num>
  <w:num w:numId="56">
    <w:abstractNumId w:val="39"/>
  </w:num>
  <w:num w:numId="57">
    <w:abstractNumId w:val="16"/>
  </w:num>
  <w:num w:numId="58">
    <w:abstractNumId w:val="45"/>
  </w:num>
  <w:num w:numId="59">
    <w:abstractNumId w:val="34"/>
  </w:num>
  <w:num w:numId="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C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505"/>
    <w:rsid w:val="0004249A"/>
    <w:rsid w:val="00043282"/>
    <w:rsid w:val="00044286"/>
    <w:rsid w:val="00047F28"/>
    <w:rsid w:val="000503AA"/>
    <w:rsid w:val="000506A1"/>
    <w:rsid w:val="000515DD"/>
    <w:rsid w:val="00051ED0"/>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87B8A"/>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9EC"/>
    <w:rsid w:val="000B3CDA"/>
    <w:rsid w:val="000B5393"/>
    <w:rsid w:val="000B6A0B"/>
    <w:rsid w:val="000C0F6C"/>
    <w:rsid w:val="000C11DB"/>
    <w:rsid w:val="000C1492"/>
    <w:rsid w:val="000C2CAF"/>
    <w:rsid w:val="000C2FBD"/>
    <w:rsid w:val="000C4B41"/>
    <w:rsid w:val="000C57D6"/>
    <w:rsid w:val="000C6362"/>
    <w:rsid w:val="000C6ACB"/>
    <w:rsid w:val="000C7666"/>
    <w:rsid w:val="000D0A9C"/>
    <w:rsid w:val="000D1795"/>
    <w:rsid w:val="000D329A"/>
    <w:rsid w:val="000D4B9C"/>
    <w:rsid w:val="000D4EB6"/>
    <w:rsid w:val="000D753B"/>
    <w:rsid w:val="000E4C9E"/>
    <w:rsid w:val="000E688D"/>
    <w:rsid w:val="000E6FD7"/>
    <w:rsid w:val="000F06E1"/>
    <w:rsid w:val="000F0E3C"/>
    <w:rsid w:val="000F19D5"/>
    <w:rsid w:val="000F2A92"/>
    <w:rsid w:val="000F4AEA"/>
    <w:rsid w:val="000F55D7"/>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DBF"/>
    <w:rsid w:val="001635D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754"/>
    <w:rsid w:val="001913C4"/>
    <w:rsid w:val="0019348F"/>
    <w:rsid w:val="00193A07"/>
    <w:rsid w:val="00194C95"/>
    <w:rsid w:val="00195C34"/>
    <w:rsid w:val="00196EF5"/>
    <w:rsid w:val="001A1A53"/>
    <w:rsid w:val="001A234A"/>
    <w:rsid w:val="001A39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A53"/>
    <w:rsid w:val="001F4816"/>
    <w:rsid w:val="001F4EE9"/>
    <w:rsid w:val="001F69B4"/>
    <w:rsid w:val="001F77C7"/>
    <w:rsid w:val="00200183"/>
    <w:rsid w:val="00200333"/>
    <w:rsid w:val="0020107D"/>
    <w:rsid w:val="00202AA4"/>
    <w:rsid w:val="002031F7"/>
    <w:rsid w:val="002040E6"/>
    <w:rsid w:val="0020527B"/>
    <w:rsid w:val="00205F2C"/>
    <w:rsid w:val="00210B15"/>
    <w:rsid w:val="00211BFD"/>
    <w:rsid w:val="002142EA"/>
    <w:rsid w:val="002204BB"/>
    <w:rsid w:val="00221B79"/>
    <w:rsid w:val="00221C6B"/>
    <w:rsid w:val="00222E9A"/>
    <w:rsid w:val="002253A1"/>
    <w:rsid w:val="00225CF8"/>
    <w:rsid w:val="00226F50"/>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8C2"/>
    <w:rsid w:val="00262696"/>
    <w:rsid w:val="00262E91"/>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CD0"/>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086"/>
    <w:rsid w:val="00366E89"/>
    <w:rsid w:val="003705F4"/>
    <w:rsid w:val="00370D58"/>
    <w:rsid w:val="00371316"/>
    <w:rsid w:val="00376713"/>
    <w:rsid w:val="00377DC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056"/>
    <w:rsid w:val="004467FB"/>
    <w:rsid w:val="00452D6B"/>
    <w:rsid w:val="00454484"/>
    <w:rsid w:val="0045517B"/>
    <w:rsid w:val="00457D07"/>
    <w:rsid w:val="00463B77"/>
    <w:rsid w:val="00463C7B"/>
    <w:rsid w:val="004644A6"/>
    <w:rsid w:val="004659BD"/>
    <w:rsid w:val="00470775"/>
    <w:rsid w:val="004746B1"/>
    <w:rsid w:val="0047583F"/>
    <w:rsid w:val="00475DE8"/>
    <w:rsid w:val="00481C44"/>
    <w:rsid w:val="00484936"/>
    <w:rsid w:val="00485C89"/>
    <w:rsid w:val="00486BE3"/>
    <w:rsid w:val="00487893"/>
    <w:rsid w:val="004905E4"/>
    <w:rsid w:val="00490A89"/>
    <w:rsid w:val="00490AB4"/>
    <w:rsid w:val="004921C9"/>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F5"/>
    <w:rsid w:val="004E1C0A"/>
    <w:rsid w:val="004E2B06"/>
    <w:rsid w:val="004E30C5"/>
    <w:rsid w:val="004E4AA5"/>
    <w:rsid w:val="004E4AEE"/>
    <w:rsid w:val="004E59E3"/>
    <w:rsid w:val="004E67C0"/>
    <w:rsid w:val="004F391A"/>
    <w:rsid w:val="004F3CFB"/>
    <w:rsid w:val="004F6456"/>
    <w:rsid w:val="004F696E"/>
    <w:rsid w:val="004F6C71"/>
    <w:rsid w:val="00501139"/>
    <w:rsid w:val="00503200"/>
    <w:rsid w:val="0050363E"/>
    <w:rsid w:val="005039BC"/>
    <w:rsid w:val="005043BB"/>
    <w:rsid w:val="00504A3D"/>
    <w:rsid w:val="00505767"/>
    <w:rsid w:val="005073F0"/>
    <w:rsid w:val="00510A7B"/>
    <w:rsid w:val="00511640"/>
    <w:rsid w:val="00512F6E"/>
    <w:rsid w:val="00513038"/>
    <w:rsid w:val="00514174"/>
    <w:rsid w:val="00516088"/>
    <w:rsid w:val="00516B0B"/>
    <w:rsid w:val="005220EC"/>
    <w:rsid w:val="00523F95"/>
    <w:rsid w:val="00524D65"/>
    <w:rsid w:val="00525B16"/>
    <w:rsid w:val="00526A6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9B7"/>
    <w:rsid w:val="00573D9E"/>
    <w:rsid w:val="005801E3"/>
    <w:rsid w:val="00581802"/>
    <w:rsid w:val="005836A8"/>
    <w:rsid w:val="0058409C"/>
    <w:rsid w:val="00584262"/>
    <w:rsid w:val="00586630"/>
    <w:rsid w:val="00587ADD"/>
    <w:rsid w:val="00591E27"/>
    <w:rsid w:val="00596160"/>
    <w:rsid w:val="0059631C"/>
    <w:rsid w:val="005966E2"/>
    <w:rsid w:val="00596AC7"/>
    <w:rsid w:val="00597007"/>
    <w:rsid w:val="005A03FC"/>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716"/>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1C"/>
    <w:rsid w:val="00607D29"/>
    <w:rsid w:val="00611769"/>
    <w:rsid w:val="00612952"/>
    <w:rsid w:val="00614CC1"/>
    <w:rsid w:val="00615A9D"/>
    <w:rsid w:val="00617387"/>
    <w:rsid w:val="006205D6"/>
    <w:rsid w:val="006252D8"/>
    <w:rsid w:val="006259BC"/>
    <w:rsid w:val="0062636B"/>
    <w:rsid w:val="00632182"/>
    <w:rsid w:val="00632AE0"/>
    <w:rsid w:val="00633C17"/>
    <w:rsid w:val="00634D9E"/>
    <w:rsid w:val="006351F8"/>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6F2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68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22A"/>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820"/>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C2E"/>
    <w:rsid w:val="007F0ED8"/>
    <w:rsid w:val="007F0F63"/>
    <w:rsid w:val="007F75CE"/>
    <w:rsid w:val="008013A4"/>
    <w:rsid w:val="00801C97"/>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7D2"/>
    <w:rsid w:val="00825138"/>
    <w:rsid w:val="008269DD"/>
    <w:rsid w:val="00830621"/>
    <w:rsid w:val="0083348C"/>
    <w:rsid w:val="008373D3"/>
    <w:rsid w:val="00840617"/>
    <w:rsid w:val="00840F84"/>
    <w:rsid w:val="00842A47"/>
    <w:rsid w:val="00843C13"/>
    <w:rsid w:val="008454F8"/>
    <w:rsid w:val="0085173A"/>
    <w:rsid w:val="00856316"/>
    <w:rsid w:val="008565D6"/>
    <w:rsid w:val="008603CE"/>
    <w:rsid w:val="008620FC"/>
    <w:rsid w:val="008627A5"/>
    <w:rsid w:val="00863E05"/>
    <w:rsid w:val="00865ACA"/>
    <w:rsid w:val="00865D28"/>
    <w:rsid w:val="00865F85"/>
    <w:rsid w:val="00867C10"/>
    <w:rsid w:val="00870439"/>
    <w:rsid w:val="00870DA1"/>
    <w:rsid w:val="00881D8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E2A"/>
    <w:rsid w:val="008A1893"/>
    <w:rsid w:val="008A3215"/>
    <w:rsid w:val="008A57E6"/>
    <w:rsid w:val="008A5E5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596"/>
    <w:rsid w:val="008E6A84"/>
    <w:rsid w:val="008F0CDC"/>
    <w:rsid w:val="008F17A3"/>
    <w:rsid w:val="008F1ED3"/>
    <w:rsid w:val="008F23A5"/>
    <w:rsid w:val="008F4C29"/>
    <w:rsid w:val="008F70BD"/>
    <w:rsid w:val="008F788F"/>
    <w:rsid w:val="008F7EA2"/>
    <w:rsid w:val="00902722"/>
    <w:rsid w:val="009027BC"/>
    <w:rsid w:val="009060C0"/>
    <w:rsid w:val="009062E6"/>
    <w:rsid w:val="00911BE5"/>
    <w:rsid w:val="00913CA9"/>
    <w:rsid w:val="009145AE"/>
    <w:rsid w:val="009146CE"/>
    <w:rsid w:val="00914CA7"/>
    <w:rsid w:val="00915C3E"/>
    <w:rsid w:val="009161A8"/>
    <w:rsid w:val="009245F5"/>
    <w:rsid w:val="009249EC"/>
    <w:rsid w:val="009273B3"/>
    <w:rsid w:val="009305B5"/>
    <w:rsid w:val="00930C21"/>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2F2E"/>
    <w:rsid w:val="00993889"/>
    <w:rsid w:val="0099551B"/>
    <w:rsid w:val="00997BF1"/>
    <w:rsid w:val="009A089C"/>
    <w:rsid w:val="009A118E"/>
    <w:rsid w:val="009A21CD"/>
    <w:rsid w:val="009A2377"/>
    <w:rsid w:val="009A278C"/>
    <w:rsid w:val="009A2BC2"/>
    <w:rsid w:val="009A42C1"/>
    <w:rsid w:val="009A5429"/>
    <w:rsid w:val="009A72AD"/>
    <w:rsid w:val="009B09E0"/>
    <w:rsid w:val="009B0BC5"/>
    <w:rsid w:val="009B1247"/>
    <w:rsid w:val="009B46F9"/>
    <w:rsid w:val="009B5D4F"/>
    <w:rsid w:val="009B6029"/>
    <w:rsid w:val="009B6971"/>
    <w:rsid w:val="009C27F1"/>
    <w:rsid w:val="009C3152"/>
    <w:rsid w:val="009C4CFA"/>
    <w:rsid w:val="009C5070"/>
    <w:rsid w:val="009D112C"/>
    <w:rsid w:val="009D47FA"/>
    <w:rsid w:val="009D4C5B"/>
    <w:rsid w:val="009D50D2"/>
    <w:rsid w:val="009D6BCA"/>
    <w:rsid w:val="009E0F62"/>
    <w:rsid w:val="009E4A58"/>
    <w:rsid w:val="009E4D86"/>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F58"/>
    <w:rsid w:val="00A55BD6"/>
    <w:rsid w:val="00A55D50"/>
    <w:rsid w:val="00A57142"/>
    <w:rsid w:val="00A648CD"/>
    <w:rsid w:val="00A6537A"/>
    <w:rsid w:val="00A67866"/>
    <w:rsid w:val="00A70B07"/>
    <w:rsid w:val="00A723F8"/>
    <w:rsid w:val="00A740C7"/>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B8D"/>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FB2"/>
    <w:rsid w:val="00B10534"/>
    <w:rsid w:val="00B113DB"/>
    <w:rsid w:val="00B11D8A"/>
    <w:rsid w:val="00B12981"/>
    <w:rsid w:val="00B12E03"/>
    <w:rsid w:val="00B147DD"/>
    <w:rsid w:val="00B156FD"/>
    <w:rsid w:val="00B21F61"/>
    <w:rsid w:val="00B261F1"/>
    <w:rsid w:val="00B265BC"/>
    <w:rsid w:val="00B31FB1"/>
    <w:rsid w:val="00B33952"/>
    <w:rsid w:val="00B33C5E"/>
    <w:rsid w:val="00B342F4"/>
    <w:rsid w:val="00B34369"/>
    <w:rsid w:val="00B34DC2"/>
    <w:rsid w:val="00B359DB"/>
    <w:rsid w:val="00B378E5"/>
    <w:rsid w:val="00B37F99"/>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659"/>
    <w:rsid w:val="00B96D40"/>
    <w:rsid w:val="00B97386"/>
    <w:rsid w:val="00BA263B"/>
    <w:rsid w:val="00BA42B2"/>
    <w:rsid w:val="00BA58D4"/>
    <w:rsid w:val="00BA5B9E"/>
    <w:rsid w:val="00BA7C9A"/>
    <w:rsid w:val="00BB203B"/>
    <w:rsid w:val="00BB5F8F"/>
    <w:rsid w:val="00BB657A"/>
    <w:rsid w:val="00BB6FEE"/>
    <w:rsid w:val="00BC1A4E"/>
    <w:rsid w:val="00BC4790"/>
    <w:rsid w:val="00BC5DC7"/>
    <w:rsid w:val="00BC6B8B"/>
    <w:rsid w:val="00BC73D8"/>
    <w:rsid w:val="00BD52D7"/>
    <w:rsid w:val="00BD5AD2"/>
    <w:rsid w:val="00BE22F3"/>
    <w:rsid w:val="00BE5B52"/>
    <w:rsid w:val="00BE67CA"/>
    <w:rsid w:val="00BE7B8D"/>
    <w:rsid w:val="00BF0993"/>
    <w:rsid w:val="00BF10A9"/>
    <w:rsid w:val="00BF1703"/>
    <w:rsid w:val="00BF231C"/>
    <w:rsid w:val="00BF51E5"/>
    <w:rsid w:val="00BF74A6"/>
    <w:rsid w:val="00C013AD"/>
    <w:rsid w:val="00C04904"/>
    <w:rsid w:val="00C056B3"/>
    <w:rsid w:val="00C103E5"/>
    <w:rsid w:val="00C1234E"/>
    <w:rsid w:val="00C13319"/>
    <w:rsid w:val="00C13EE9"/>
    <w:rsid w:val="00C21540"/>
    <w:rsid w:val="00C21906"/>
    <w:rsid w:val="00C21BFA"/>
    <w:rsid w:val="00C22148"/>
    <w:rsid w:val="00C24C8D"/>
    <w:rsid w:val="00C25FE2"/>
    <w:rsid w:val="00C26B53"/>
    <w:rsid w:val="00C279B2"/>
    <w:rsid w:val="00C33E50"/>
    <w:rsid w:val="00C34C20"/>
    <w:rsid w:val="00C35A3E"/>
    <w:rsid w:val="00C36F3C"/>
    <w:rsid w:val="00C42130"/>
    <w:rsid w:val="00C423A4"/>
    <w:rsid w:val="00C44BF5"/>
    <w:rsid w:val="00C521D6"/>
    <w:rsid w:val="00C55232"/>
    <w:rsid w:val="00C553A4"/>
    <w:rsid w:val="00C55A06"/>
    <w:rsid w:val="00C55D03"/>
    <w:rsid w:val="00C57D8E"/>
    <w:rsid w:val="00C601BC"/>
    <w:rsid w:val="00C6329F"/>
    <w:rsid w:val="00C63340"/>
    <w:rsid w:val="00C643F9"/>
    <w:rsid w:val="00C64E95"/>
    <w:rsid w:val="00C71372"/>
    <w:rsid w:val="00C72410"/>
    <w:rsid w:val="00C7287F"/>
    <w:rsid w:val="00C80CB8"/>
    <w:rsid w:val="00C819F8"/>
    <w:rsid w:val="00C8248C"/>
    <w:rsid w:val="00C8314D"/>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D70"/>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A1E"/>
    <w:rsid w:val="00CF6E60"/>
    <w:rsid w:val="00CF7BCA"/>
    <w:rsid w:val="00D008FD"/>
    <w:rsid w:val="00D01400"/>
    <w:rsid w:val="00D0321C"/>
    <w:rsid w:val="00D035EC"/>
    <w:rsid w:val="00D06AB1"/>
    <w:rsid w:val="00D072ED"/>
    <w:rsid w:val="00D07A16"/>
    <w:rsid w:val="00D1067E"/>
    <w:rsid w:val="00D10F50"/>
    <w:rsid w:val="00D11272"/>
    <w:rsid w:val="00D1197E"/>
    <w:rsid w:val="00D126F5"/>
    <w:rsid w:val="00D1489E"/>
    <w:rsid w:val="00D15E6D"/>
    <w:rsid w:val="00D20737"/>
    <w:rsid w:val="00D21E81"/>
    <w:rsid w:val="00D223DE"/>
    <w:rsid w:val="00D2555D"/>
    <w:rsid w:val="00D25E37"/>
    <w:rsid w:val="00D2661A"/>
    <w:rsid w:val="00D27582"/>
    <w:rsid w:val="00D27EC4"/>
    <w:rsid w:val="00D31FB2"/>
    <w:rsid w:val="00D32719"/>
    <w:rsid w:val="00D33333"/>
    <w:rsid w:val="00D33457"/>
    <w:rsid w:val="00D352A2"/>
    <w:rsid w:val="00D4162B"/>
    <w:rsid w:val="00D43276"/>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3E2"/>
    <w:rsid w:val="00E15CCD"/>
    <w:rsid w:val="00E202EF"/>
    <w:rsid w:val="00E210B5"/>
    <w:rsid w:val="00E21541"/>
    <w:rsid w:val="00E23D99"/>
    <w:rsid w:val="00E2552F"/>
    <w:rsid w:val="00E25C77"/>
    <w:rsid w:val="00E3137A"/>
    <w:rsid w:val="00E32CCF"/>
    <w:rsid w:val="00E33D55"/>
    <w:rsid w:val="00E34A98"/>
    <w:rsid w:val="00E35D1E"/>
    <w:rsid w:val="00E364F9"/>
    <w:rsid w:val="00E365FA"/>
    <w:rsid w:val="00E36789"/>
    <w:rsid w:val="00E4247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539"/>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21"/>
    <w:rsid w:val="00EA58D1"/>
    <w:rsid w:val="00EA61BC"/>
    <w:rsid w:val="00EA681A"/>
    <w:rsid w:val="00EA735B"/>
    <w:rsid w:val="00EB17DE"/>
    <w:rsid w:val="00EB1E69"/>
    <w:rsid w:val="00EB2086"/>
    <w:rsid w:val="00EB5EDF"/>
    <w:rsid w:val="00EB60FE"/>
    <w:rsid w:val="00EB74DB"/>
    <w:rsid w:val="00EC5359"/>
    <w:rsid w:val="00EC562A"/>
    <w:rsid w:val="00EC769E"/>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B81"/>
    <w:rsid w:val="00F25BB6"/>
    <w:rsid w:val="00F26B7E"/>
    <w:rsid w:val="00F27A3B"/>
    <w:rsid w:val="00F33817"/>
    <w:rsid w:val="00F420D5"/>
    <w:rsid w:val="00F451EA"/>
    <w:rsid w:val="00F45447"/>
    <w:rsid w:val="00F456C6"/>
    <w:rsid w:val="00F4577B"/>
    <w:rsid w:val="00F46496"/>
    <w:rsid w:val="00F474D0"/>
    <w:rsid w:val="00F50179"/>
    <w:rsid w:val="00F515EE"/>
    <w:rsid w:val="00F52948"/>
    <w:rsid w:val="00F56511"/>
    <w:rsid w:val="00F6194E"/>
    <w:rsid w:val="00F623AC"/>
    <w:rsid w:val="00F6412A"/>
    <w:rsid w:val="00F65893"/>
    <w:rsid w:val="00F66A4A"/>
    <w:rsid w:val="00F71E22"/>
    <w:rsid w:val="00F72142"/>
    <w:rsid w:val="00F72AE7"/>
    <w:rsid w:val="00F81141"/>
    <w:rsid w:val="00F81A43"/>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24D"/>
    <w:rsid w:val="00FB231D"/>
    <w:rsid w:val="00FB45F1"/>
    <w:rsid w:val="00FB4A72"/>
    <w:rsid w:val="00FB54E8"/>
    <w:rsid w:val="00FB7054"/>
    <w:rsid w:val="00FC17B7"/>
    <w:rsid w:val="00FC2CB7"/>
    <w:rsid w:val="00FC3FFD"/>
    <w:rsid w:val="00FC4090"/>
    <w:rsid w:val="00FC55B4"/>
    <w:rsid w:val="00FD00E6"/>
    <w:rsid w:val="00FD09A1"/>
    <w:rsid w:val="00FD1C8E"/>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180A5E"/>
    <w:rsid w:val="0FB37292"/>
    <w:rsid w:val="106E3CA8"/>
    <w:rsid w:val="145A4795"/>
    <w:rsid w:val="1B724D88"/>
    <w:rsid w:val="23C758B3"/>
    <w:rsid w:val="3A6D1DFC"/>
    <w:rsid w:val="42E6712F"/>
    <w:rsid w:val="43C33FF7"/>
    <w:rsid w:val="49DB0CBE"/>
    <w:rsid w:val="51BF3AF1"/>
    <w:rsid w:val="53BF7C4F"/>
    <w:rsid w:val="6B836F47"/>
    <w:rsid w:val="6E513A6F"/>
    <w:rsid w:val="793D0C64"/>
    <w:rsid w:val="7BDB4F68"/>
    <w:rsid w:val="7FE06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Body Text Indent"/>
    <w:basedOn w:val="1"/>
    <w:link w:val="237"/>
    <w:unhideWhenUsed/>
    <w:qFormat/>
    <w:uiPriority w:val="99"/>
    <w:pPr>
      <w:adjustRightInd/>
      <w:spacing w:before="100" w:beforeAutospacing="1" w:after="120" w:line="240" w:lineRule="auto"/>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20"/>
    <w:qFormat/>
    <w:uiPriority w:val="99"/>
    <w:rPr>
      <w:kern w:val="2"/>
      <w:sz w:val="18"/>
      <w:szCs w:val="18"/>
    </w:rPr>
  </w:style>
  <w:style w:type="character" w:customStyle="1" w:styleId="46">
    <w:name w:val="页脚 Char"/>
    <w:link w:val="19"/>
    <w:qFormat/>
    <w:uiPriority w:val="99"/>
    <w:rPr>
      <w:rFonts w:ascii="宋体"/>
      <w:kern w:val="2"/>
      <w:sz w:val="18"/>
      <w:szCs w:val="18"/>
    </w:rPr>
  </w:style>
  <w:style w:type="character" w:customStyle="1" w:styleId="47">
    <w:name w:val="批注框文本 Char"/>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Char"/>
    <w:basedOn w:val="30"/>
    <w:link w:val="13"/>
    <w:semiHidden/>
    <w:qFormat/>
    <w:uiPriority w:val="99"/>
    <w:rPr>
      <w:rFonts w:ascii="宋体"/>
      <w:kern w:val="2"/>
      <w:sz w:val="18"/>
      <w:szCs w:val="18"/>
    </w:rPr>
  </w:style>
  <w:style w:type="paragraph" w:customStyle="1" w:styleId="233">
    <w:name w:val="段"/>
    <w:basedOn w:val="1"/>
    <w:link w:val="235"/>
    <w:qFormat/>
    <w:uiPriority w:val="0"/>
    <w:pPr>
      <w:widowControl/>
      <w:autoSpaceDE w:val="0"/>
      <w:autoSpaceDN w:val="0"/>
      <w:adjustRightInd/>
      <w:spacing w:line="240" w:lineRule="auto"/>
      <w:ind w:firstLine="420" w:firstLineChars="200"/>
    </w:pPr>
    <w:rPr>
      <w:rFonts w:ascii="宋体" w:hAnsi="Times New Roman"/>
    </w:rPr>
  </w:style>
  <w:style w:type="paragraph" w:customStyle="1" w:styleId="234">
    <w:name w:val="正文1"/>
    <w:qFormat/>
    <w:uiPriority w:val="0"/>
    <w:pPr>
      <w:jc w:val="both"/>
    </w:pPr>
    <w:rPr>
      <w:rFonts w:ascii="Calibri" w:hAnsi="Calibri" w:eastAsia="宋体" w:cs="Calibri"/>
      <w:kern w:val="2"/>
      <w:sz w:val="21"/>
      <w:szCs w:val="21"/>
      <w:lang w:val="en-US" w:eastAsia="zh-CN" w:bidi="ar-SA"/>
    </w:rPr>
  </w:style>
  <w:style w:type="character" w:customStyle="1" w:styleId="235">
    <w:name w:val="段 Char"/>
    <w:link w:val="233"/>
    <w:qFormat/>
    <w:uiPriority w:val="0"/>
    <w:rPr>
      <w:rFonts w:ascii="宋体" w:hAnsi="Times New Roman"/>
      <w:kern w:val="2"/>
      <w:sz w:val="21"/>
      <w:szCs w:val="21"/>
    </w:rPr>
  </w:style>
  <w:style w:type="paragraph" w:customStyle="1" w:styleId="236">
    <w:name w:val="Table Paragraph"/>
    <w:basedOn w:val="1"/>
    <w:qFormat/>
    <w:uiPriority w:val="0"/>
    <w:pPr>
      <w:autoSpaceDE w:val="0"/>
      <w:autoSpaceDN w:val="0"/>
      <w:adjustRightInd/>
      <w:spacing w:before="100" w:beforeAutospacing="1" w:line="240" w:lineRule="auto"/>
    </w:pPr>
    <w:rPr>
      <w:rFonts w:ascii="宋体" w:hAnsi="宋体" w:cs="宋体"/>
    </w:rPr>
  </w:style>
  <w:style w:type="character" w:customStyle="1" w:styleId="237">
    <w:name w:val="正文文本缩进 Char"/>
    <w:basedOn w:val="30"/>
    <w:link w:val="15"/>
    <w:qFormat/>
    <w:uiPriority w:val="99"/>
    <w:rPr>
      <w:kern w:val="2"/>
      <w:sz w:val="21"/>
      <w:szCs w:val="21"/>
    </w:rPr>
  </w:style>
  <w:style w:type="character" w:customStyle="1" w:styleId="238">
    <w:name w:val="15"/>
    <w:basedOn w:val="30"/>
    <w:qFormat/>
    <w:uiPriority w:val="0"/>
    <w:rPr>
      <w:rFonts w:hint="eastAsia" w:ascii="宋体" w:hAnsi="宋体" w:eastAsia="宋体"/>
      <w:color w:val="538DD5"/>
      <w:sz w:val="36"/>
      <w:szCs w:val="36"/>
    </w:rPr>
  </w:style>
  <w:style w:type="character" w:customStyle="1" w:styleId="239">
    <w:name w:val="16"/>
    <w:basedOn w:val="30"/>
    <w:qFormat/>
    <w:uiPriority w:val="0"/>
    <w:rPr>
      <w:rFonts w:hint="eastAsia" w:ascii="宋体" w:hAnsi="宋体" w:eastAsia="宋体"/>
      <w:color w:val="538DD5"/>
      <w:sz w:val="36"/>
      <w:szCs w:val="36"/>
    </w:rPr>
  </w:style>
  <w:style w:type="paragraph" w:customStyle="1" w:styleId="240">
    <w:name w:val="正文2"/>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4.jpe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tiff"/><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0936A783AE4131913654C0DC0E8AE6"/>
        <w:style w:val=""/>
        <w:category>
          <w:name w:val="常规"/>
          <w:gallery w:val="placeholder"/>
        </w:category>
        <w:types>
          <w:type w:val="bbPlcHdr"/>
        </w:types>
        <w:behaviors>
          <w:behavior w:val="content"/>
        </w:behaviors>
        <w:description w:val=""/>
        <w:guid w:val="{DF05FF25-3DB2-4DE2-A82E-C79DDC41CF71}"/>
      </w:docPartPr>
      <w:docPartBody>
        <w:p w14:paraId="4161A7F7">
          <w:pPr>
            <w:pStyle w:val="5"/>
          </w:pPr>
          <w:r>
            <w:rPr>
              <w:rStyle w:val="4"/>
              <w:rFonts w:hint="eastAsia"/>
            </w:rPr>
            <w:t>单击或点击此处输入文字。</w:t>
          </w:r>
        </w:p>
      </w:docPartBody>
    </w:docPart>
    <w:docPart>
      <w:docPartPr>
        <w:name w:val="351DED16C0714A5FBEF40BFD5083C660"/>
        <w:style w:val=""/>
        <w:category>
          <w:name w:val="常规"/>
          <w:gallery w:val="placeholder"/>
        </w:category>
        <w:types>
          <w:type w:val="bbPlcHdr"/>
        </w:types>
        <w:behaviors>
          <w:behavior w:val="content"/>
        </w:behaviors>
        <w:description w:val=""/>
        <w:guid w:val="{4734CE8F-905C-44EC-BE01-C4724191955F}"/>
      </w:docPartPr>
      <w:docPartBody>
        <w:p w14:paraId="58D8ED11">
          <w:pPr>
            <w:pStyle w:val="6"/>
          </w:pPr>
          <w:r>
            <w:rPr>
              <w:rStyle w:val="4"/>
              <w:rFonts w:hint="eastAsia"/>
            </w:rPr>
            <w:t>选择一项。</w:t>
          </w:r>
        </w:p>
      </w:docPartBody>
    </w:docPart>
    <w:docPart>
      <w:docPartPr>
        <w:name w:val="9F21BA288C7444E3A74E30C727BE8735"/>
        <w:style w:val=""/>
        <w:category>
          <w:name w:val="常规"/>
          <w:gallery w:val="placeholder"/>
        </w:category>
        <w:types>
          <w:type w:val="bbPlcHdr"/>
        </w:types>
        <w:behaviors>
          <w:behavior w:val="content"/>
        </w:behaviors>
        <w:description w:val=""/>
        <w:guid w:val="{5E6BBDC3-4E05-4F82-A9C1-68400B023A68}"/>
      </w:docPartPr>
      <w:docPartBody>
        <w:p w14:paraId="3488137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6A39"/>
    <w:rsid w:val="00003E43"/>
    <w:rsid w:val="000C1A82"/>
    <w:rsid w:val="000D454B"/>
    <w:rsid w:val="001D0CB0"/>
    <w:rsid w:val="003838D4"/>
    <w:rsid w:val="007A4852"/>
    <w:rsid w:val="00951686"/>
    <w:rsid w:val="00A80210"/>
    <w:rsid w:val="00E05369"/>
    <w:rsid w:val="00EF6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80936A783AE4131913654C0DC0E8AE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51DED16C0714A5FBEF40BFD5083C6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F21BA288C7444E3A74E30C727BE873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0F9B3-33F9-44FB-B92D-53E7D087190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34</Pages>
  <Words>1577</Words>
  <Characters>1892</Characters>
  <Lines>194</Lines>
  <Paragraphs>54</Paragraphs>
  <TotalTime>12</TotalTime>
  <ScaleCrop>false</ScaleCrop>
  <LinksUpToDate>false</LinksUpToDate>
  <CharactersWithSpaces>2088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2024-11-09T11:35:00Z</dcterms:created>
  <dc:creator>Windows 用户</dc:creator>
  <dc:description>&lt;config cover="true" show_menu="true" version="1.0.0" doctype="SDKXY"&gt;_x000d_
&lt;/config&gt;</dc:description>
  <cp:lastModifiedBy>忐忑</cp:lastModifiedBy>
  <cp:lastPrinted>2020-08-30T10:00:00Z</cp:lastPrinted>
  <dcterms:modified xsi:type="dcterms:W3CDTF">2025-10-11T02:35:01Z</dcterms:modified>
  <dc:title>地方标准</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2052-12.1.0.22529</vt:lpwstr>
  </property>
  <property fmtid="{D5CDD505-2E9C-101B-9397-08002B2CF9AE}" pid="16" name="ICV">
    <vt:lpwstr>7C9FA7415B2D463FB4B419FF026F5C1C_12</vt:lpwstr>
  </property>
</Properties>
</file>